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2206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74"/>
      </w:tblGrid>
      <w:tr w:rsidR="0011287B" w:rsidRPr="00491B2C" w:rsidTr="000F789C">
        <w:trPr>
          <w:trHeight w:val="353"/>
        </w:trPr>
        <w:tc>
          <w:tcPr>
            <w:tcW w:w="7974" w:type="dxa"/>
            <w:shd w:val="clear" w:color="auto" w:fill="002060"/>
          </w:tcPr>
          <w:p w:rsidR="0011287B" w:rsidRPr="00405578" w:rsidRDefault="0011287B" w:rsidP="00D41465">
            <w:pPr>
              <w:spacing w:before="60" w:after="60"/>
              <w:rPr>
                <w:rFonts w:ascii="Times New Roman" w:hAnsi="Times New Roman" w:cs="Times New Roman"/>
                <w:sz w:val="32"/>
                <w:szCs w:val="32"/>
              </w:rPr>
            </w:pPr>
            <w:r w:rsidRPr="004055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Eligibility </w:t>
            </w:r>
          </w:p>
        </w:tc>
      </w:tr>
      <w:tr w:rsidR="0011287B" w:rsidRPr="00491B2C" w:rsidTr="0011287B">
        <w:trPr>
          <w:trHeight w:val="1835"/>
        </w:trPr>
        <w:tc>
          <w:tcPr>
            <w:tcW w:w="7974" w:type="dxa"/>
            <w:shd w:val="clear" w:color="auto" w:fill="auto"/>
          </w:tcPr>
          <w:p w:rsidR="0011287B" w:rsidRPr="001860B8" w:rsidRDefault="0011287B" w:rsidP="006872A1">
            <w:pPr>
              <w:spacing w:before="60" w:after="60"/>
              <w:rPr>
                <w:rFonts w:ascii="Times New Roman" w:hAnsi="Times New Roman" w:cs="Times New Roman"/>
                <w:color w:val="1F497D" w:themeColor="text2"/>
              </w:rPr>
            </w:pPr>
            <w:r w:rsidRPr="001860B8">
              <w:rPr>
                <w:rFonts w:ascii="Times New Roman" w:hAnsi="Times New Roman" w:cs="Times New Roman"/>
                <w:color w:val="1F497D" w:themeColor="text2"/>
              </w:rPr>
              <w:t xml:space="preserve">An eligible employee is an </w:t>
            </w:r>
            <w:r w:rsidR="004B1375">
              <w:rPr>
                <w:rFonts w:ascii="Times New Roman" w:hAnsi="Times New Roman" w:cs="Times New Roman"/>
                <w:color w:val="1F497D" w:themeColor="text2"/>
              </w:rPr>
              <w:t xml:space="preserve">active </w:t>
            </w:r>
            <w:r w:rsidRPr="001860B8">
              <w:rPr>
                <w:rFonts w:ascii="Times New Roman" w:hAnsi="Times New Roman" w:cs="Times New Roman"/>
                <w:color w:val="1F497D" w:themeColor="text2"/>
              </w:rPr>
              <w:t>employee who is regularly scheduled to work on a full–time basis for at least 35 hours per week.  Benefits begin on the 1</w:t>
            </w:r>
            <w:r w:rsidRPr="001860B8">
              <w:rPr>
                <w:rFonts w:ascii="Times New Roman" w:hAnsi="Times New Roman" w:cs="Times New Roman"/>
                <w:color w:val="1F497D" w:themeColor="text2"/>
                <w:vertAlign w:val="superscript"/>
              </w:rPr>
              <w:t xml:space="preserve">st </w:t>
            </w:r>
            <w:r w:rsidRPr="001860B8">
              <w:rPr>
                <w:rFonts w:ascii="Times New Roman" w:hAnsi="Times New Roman" w:cs="Times New Roman"/>
                <w:color w:val="1F497D" w:themeColor="text2"/>
              </w:rPr>
              <w:t xml:space="preserve">day of the </w:t>
            </w:r>
            <w:r w:rsidR="00454E4D">
              <w:rPr>
                <w:rFonts w:ascii="Times New Roman" w:hAnsi="Times New Roman" w:cs="Times New Roman"/>
                <w:color w:val="1F497D" w:themeColor="text2"/>
              </w:rPr>
              <w:t>month f</w:t>
            </w:r>
            <w:r w:rsidRPr="001860B8">
              <w:rPr>
                <w:rFonts w:ascii="Times New Roman" w:hAnsi="Times New Roman" w:cs="Times New Roman"/>
                <w:color w:val="1F497D" w:themeColor="text2"/>
              </w:rPr>
              <w:t>ollowing</w:t>
            </w:r>
            <w:r w:rsidR="00454E4D">
              <w:rPr>
                <w:rFonts w:ascii="Times New Roman" w:hAnsi="Times New Roman" w:cs="Times New Roman"/>
                <w:color w:val="1F497D" w:themeColor="text2"/>
              </w:rPr>
              <w:t xml:space="preserve"> t</w:t>
            </w:r>
            <w:r w:rsidRPr="001860B8">
              <w:rPr>
                <w:rFonts w:ascii="Times New Roman" w:hAnsi="Times New Roman" w:cs="Times New Roman"/>
                <w:color w:val="1F497D" w:themeColor="text2"/>
              </w:rPr>
              <w:t xml:space="preserve">he </w:t>
            </w:r>
            <w:r w:rsidR="008E6A42">
              <w:rPr>
                <w:rFonts w:ascii="Times New Roman" w:hAnsi="Times New Roman" w:cs="Times New Roman"/>
                <w:color w:val="1F497D" w:themeColor="text2"/>
              </w:rPr>
              <w:t xml:space="preserve">hire date </w:t>
            </w:r>
            <w:r w:rsidR="00533978">
              <w:rPr>
                <w:rFonts w:ascii="Times New Roman" w:hAnsi="Times New Roman" w:cs="Times New Roman"/>
                <w:color w:val="1F497D" w:themeColor="text2"/>
              </w:rPr>
              <w:t>for most benefits</w:t>
            </w:r>
            <w:r w:rsidRPr="001860B8">
              <w:rPr>
                <w:rFonts w:ascii="Times New Roman" w:hAnsi="Times New Roman" w:cs="Times New Roman"/>
                <w:color w:val="1F497D" w:themeColor="text2"/>
              </w:rPr>
              <w:t xml:space="preserve">. Dependents eligible to enroll in </w:t>
            </w:r>
            <w:r w:rsidR="008E6A42">
              <w:rPr>
                <w:rFonts w:ascii="Times New Roman" w:hAnsi="Times New Roman" w:cs="Times New Roman"/>
                <w:color w:val="1F497D" w:themeColor="text2"/>
              </w:rPr>
              <w:t xml:space="preserve">the </w:t>
            </w:r>
            <w:r w:rsidR="00386A56" w:rsidRPr="001860B8">
              <w:rPr>
                <w:rFonts w:ascii="Times New Roman" w:hAnsi="Times New Roman" w:cs="Times New Roman"/>
                <w:color w:val="1F497D" w:themeColor="text2"/>
              </w:rPr>
              <w:t xml:space="preserve">insurance </w:t>
            </w:r>
            <w:r w:rsidR="008E6A42">
              <w:rPr>
                <w:rFonts w:ascii="Times New Roman" w:hAnsi="Times New Roman" w:cs="Times New Roman"/>
                <w:color w:val="1F497D" w:themeColor="text2"/>
              </w:rPr>
              <w:t xml:space="preserve">plans </w:t>
            </w:r>
            <w:r w:rsidR="00386A56" w:rsidRPr="001860B8">
              <w:rPr>
                <w:rFonts w:ascii="Times New Roman" w:hAnsi="Times New Roman" w:cs="Times New Roman"/>
                <w:color w:val="1F497D" w:themeColor="text2"/>
              </w:rPr>
              <w:t>include spouse, domestic p</w:t>
            </w:r>
            <w:r w:rsidRPr="001860B8">
              <w:rPr>
                <w:rFonts w:ascii="Times New Roman" w:hAnsi="Times New Roman" w:cs="Times New Roman"/>
                <w:color w:val="1F497D" w:themeColor="text2"/>
              </w:rPr>
              <w:t>artner and dependent children up to age 26</w:t>
            </w:r>
            <w:r w:rsidR="006872A1">
              <w:rPr>
                <w:rFonts w:ascii="Times New Roman" w:hAnsi="Times New Roman" w:cs="Times New Roman"/>
                <w:color w:val="1F497D" w:themeColor="text2"/>
              </w:rPr>
              <w:t xml:space="preserve">. </w:t>
            </w:r>
            <w:r w:rsidR="00386A56" w:rsidRPr="001860B8">
              <w:rPr>
                <w:rFonts w:ascii="Times New Roman" w:hAnsi="Times New Roman" w:cs="Times New Roman"/>
                <w:color w:val="1F497D" w:themeColor="text2"/>
              </w:rPr>
              <w:t xml:space="preserve"> Part-time employees are eligible for some of the benefits. </w:t>
            </w:r>
            <w:r w:rsidR="008E6A42">
              <w:rPr>
                <w:rFonts w:ascii="Times New Roman" w:hAnsi="Times New Roman" w:cs="Times New Roman"/>
                <w:color w:val="1F497D" w:themeColor="text2"/>
              </w:rPr>
              <w:t xml:space="preserve">Documentation verifying dependent eligibility such as marriage license, birth certificate, affidavit, etc. is required at time of enrollment. </w:t>
            </w:r>
            <w:r w:rsidRPr="001860B8">
              <w:rPr>
                <w:rFonts w:ascii="Arial" w:hAnsi="Arial" w:cs="Arial"/>
                <w:color w:val="1F497D" w:themeColor="text2"/>
              </w:rPr>
              <w:t xml:space="preserve"> </w:t>
            </w:r>
          </w:p>
        </w:tc>
      </w:tr>
      <w:tr w:rsidR="0011287B" w:rsidRPr="00491B2C" w:rsidTr="000F789C">
        <w:trPr>
          <w:trHeight w:val="455"/>
        </w:trPr>
        <w:tc>
          <w:tcPr>
            <w:tcW w:w="7974" w:type="dxa"/>
            <w:shd w:val="clear" w:color="auto" w:fill="002060"/>
            <w:vAlign w:val="center"/>
          </w:tcPr>
          <w:p w:rsidR="0011287B" w:rsidRPr="00405578" w:rsidRDefault="0011287B" w:rsidP="00D41465">
            <w:pPr>
              <w:tabs>
                <w:tab w:val="left" w:pos="397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55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Our Plan Year </w:t>
            </w:r>
          </w:p>
        </w:tc>
      </w:tr>
      <w:tr w:rsidR="0011287B" w:rsidRPr="00491B2C" w:rsidTr="00AD4E42">
        <w:trPr>
          <w:trHeight w:val="4112"/>
        </w:trPr>
        <w:tc>
          <w:tcPr>
            <w:tcW w:w="7974" w:type="dxa"/>
            <w:shd w:val="clear" w:color="auto" w:fill="auto"/>
          </w:tcPr>
          <w:p w:rsidR="0011287B" w:rsidRDefault="0011287B" w:rsidP="00D41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860B8">
              <w:rPr>
                <w:rFonts w:ascii="Times New Roman" w:hAnsi="Times New Roman" w:cs="Times New Roman"/>
                <w:color w:val="1F497D" w:themeColor="text2"/>
              </w:rPr>
              <w:t>The plan year for ou</w:t>
            </w:r>
            <w:r w:rsidR="00EA3528">
              <w:rPr>
                <w:rFonts w:ascii="Times New Roman" w:hAnsi="Times New Roman" w:cs="Times New Roman"/>
                <w:color w:val="1F497D" w:themeColor="text2"/>
              </w:rPr>
              <w:t xml:space="preserve">r benefits is from January 1 through December 31 </w:t>
            </w:r>
            <w:r w:rsidRPr="001860B8">
              <w:rPr>
                <w:rFonts w:ascii="Times New Roman" w:hAnsi="Times New Roman" w:cs="Times New Roman"/>
                <w:color w:val="1F497D" w:themeColor="text2"/>
              </w:rPr>
              <w:t xml:space="preserve">of each year. Open Enrollment elections for benefits </w:t>
            </w:r>
            <w:r w:rsidR="00386A56" w:rsidRPr="001860B8">
              <w:rPr>
                <w:rFonts w:ascii="Times New Roman" w:hAnsi="Times New Roman" w:cs="Times New Roman"/>
                <w:color w:val="1F497D" w:themeColor="text2"/>
              </w:rPr>
              <w:t xml:space="preserve">is held </w:t>
            </w:r>
            <w:r w:rsidRPr="001860B8">
              <w:rPr>
                <w:rFonts w:ascii="Times New Roman" w:hAnsi="Times New Roman" w:cs="Times New Roman"/>
                <w:color w:val="1F497D" w:themeColor="text2"/>
              </w:rPr>
              <w:t>annually</w:t>
            </w:r>
            <w:r w:rsidR="005811A3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C52A26">
              <w:rPr>
                <w:rFonts w:ascii="Times New Roman" w:hAnsi="Times New Roman" w:cs="Times New Roman"/>
                <w:color w:val="1F497D" w:themeColor="text2"/>
              </w:rPr>
              <w:t>-</w:t>
            </w:r>
            <w:r w:rsidRPr="001860B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C52A26">
              <w:rPr>
                <w:rFonts w:ascii="Times New Roman" w:hAnsi="Times New Roman" w:cs="Times New Roman"/>
                <w:color w:val="1F497D" w:themeColor="text2"/>
              </w:rPr>
              <w:t xml:space="preserve">usually </w:t>
            </w:r>
            <w:r w:rsidRPr="001860B8">
              <w:rPr>
                <w:rFonts w:ascii="Times New Roman" w:hAnsi="Times New Roman" w:cs="Times New Roman"/>
                <w:color w:val="1F497D" w:themeColor="text2"/>
              </w:rPr>
              <w:t>in No</w:t>
            </w:r>
            <w:r w:rsidR="00386A56" w:rsidRPr="001860B8">
              <w:rPr>
                <w:rFonts w:ascii="Times New Roman" w:hAnsi="Times New Roman" w:cs="Times New Roman"/>
                <w:color w:val="1F497D" w:themeColor="text2"/>
              </w:rPr>
              <w:t xml:space="preserve">vember.  Open Enrollment is </w:t>
            </w:r>
            <w:r w:rsidR="00F33E3A">
              <w:rPr>
                <w:rFonts w:ascii="Times New Roman" w:hAnsi="Times New Roman" w:cs="Times New Roman"/>
                <w:color w:val="1F497D" w:themeColor="text2"/>
              </w:rPr>
              <w:t xml:space="preserve">the one time of year you have the </w:t>
            </w:r>
            <w:r w:rsidRPr="001860B8">
              <w:rPr>
                <w:rFonts w:ascii="Times New Roman" w:hAnsi="Times New Roman" w:cs="Times New Roman"/>
                <w:color w:val="1F497D" w:themeColor="text2"/>
              </w:rPr>
              <w:t xml:space="preserve">opportunity to enroll or make changes to your benefit elections. </w:t>
            </w:r>
          </w:p>
          <w:p w:rsidR="00B11C81" w:rsidRPr="008F3C9D" w:rsidRDefault="00B11C81" w:rsidP="00D41465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11287B" w:rsidRPr="00B9652C" w:rsidRDefault="0011287B" w:rsidP="00D4146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1458C0">
              <w:rPr>
                <w:rFonts w:ascii="Times New Roman" w:hAnsi="Times New Roman" w:cs="Times New Roman"/>
                <w:b/>
                <w:color w:val="FF0000"/>
              </w:rPr>
              <w:t xml:space="preserve">After the Open Enrollment period, you cannot make changes to your </w:t>
            </w:r>
            <w:r w:rsidR="005811A3">
              <w:rPr>
                <w:rFonts w:ascii="Times New Roman" w:hAnsi="Times New Roman" w:cs="Times New Roman"/>
                <w:b/>
                <w:color w:val="FF0000"/>
              </w:rPr>
              <w:t xml:space="preserve">benefits </w:t>
            </w:r>
            <w:r w:rsidR="005811A3" w:rsidRPr="001458C0">
              <w:rPr>
                <w:rFonts w:ascii="Times New Roman" w:hAnsi="Times New Roman" w:cs="Times New Roman"/>
                <w:b/>
                <w:color w:val="FF0000"/>
              </w:rPr>
              <w:t>during</w:t>
            </w:r>
            <w:r w:rsidRPr="001458C0">
              <w:rPr>
                <w:rFonts w:ascii="Times New Roman" w:hAnsi="Times New Roman" w:cs="Times New Roman"/>
                <w:b/>
                <w:color w:val="FF0000"/>
              </w:rPr>
              <w:t xml:space="preserve"> the year unless you experience a “qualifying life event”</w:t>
            </w:r>
            <w:r w:rsidR="00B11C81" w:rsidRPr="001458C0">
              <w:rPr>
                <w:rFonts w:ascii="Times New Roman" w:hAnsi="Times New Roman" w:cs="Times New Roman"/>
                <w:b/>
                <w:color w:val="FF0000"/>
              </w:rPr>
              <w:t xml:space="preserve"> or </w:t>
            </w:r>
            <w:r w:rsidR="00B9652C">
              <w:rPr>
                <w:rFonts w:ascii="Times New Roman" w:hAnsi="Times New Roman" w:cs="Times New Roman"/>
                <w:b/>
                <w:color w:val="FF0000"/>
              </w:rPr>
              <w:t>a</w:t>
            </w:r>
            <w:r w:rsidR="00B11C81" w:rsidRPr="001458C0">
              <w:rPr>
                <w:rFonts w:ascii="Times New Roman" w:hAnsi="Times New Roman" w:cs="Times New Roman"/>
                <w:b/>
                <w:color w:val="FF0000"/>
              </w:rPr>
              <w:t xml:space="preserve"> HIPAA qualifying event. </w:t>
            </w:r>
            <w:r w:rsidR="00AA3115">
              <w:rPr>
                <w:rFonts w:ascii="Times New Roman" w:hAnsi="Times New Roman" w:cs="Times New Roman"/>
                <w:b/>
                <w:color w:val="FF0000"/>
              </w:rPr>
              <w:t xml:space="preserve">If you have a qualifying life event, </w:t>
            </w:r>
            <w:r w:rsidR="005811A3">
              <w:rPr>
                <w:rFonts w:ascii="Times New Roman" w:hAnsi="Times New Roman" w:cs="Times New Roman"/>
                <w:b/>
                <w:color w:val="FF0000"/>
              </w:rPr>
              <w:t xml:space="preserve">you have up to 30 days from the date of the </w:t>
            </w:r>
            <w:r w:rsidR="00AA3115">
              <w:rPr>
                <w:rFonts w:ascii="Times New Roman" w:hAnsi="Times New Roman" w:cs="Times New Roman"/>
                <w:b/>
                <w:color w:val="FF0000"/>
              </w:rPr>
              <w:t xml:space="preserve">event to make changes. </w:t>
            </w:r>
            <w:r w:rsidRPr="00B9652C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Documentation of the qualifying event will be required. Examples of “qualifying life events” include the following:</w:t>
            </w:r>
          </w:p>
          <w:p w:rsidR="0011287B" w:rsidRPr="00B9652C" w:rsidRDefault="0011287B" w:rsidP="00D4146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9652C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</w:p>
          <w:p w:rsidR="0011287B" w:rsidRPr="00B9652C" w:rsidRDefault="0011287B" w:rsidP="00D41465">
            <w:pPr>
              <w:pStyle w:val="ListParagraph"/>
              <w:numPr>
                <w:ilvl w:val="0"/>
                <w:numId w:val="11"/>
              </w:numPr>
              <w:rPr>
                <w:color w:val="1F497D" w:themeColor="text2"/>
                <w:sz w:val="20"/>
                <w:szCs w:val="20"/>
              </w:rPr>
            </w:pPr>
            <w:r w:rsidRPr="00B9652C">
              <w:rPr>
                <w:color w:val="1F497D" w:themeColor="text2"/>
                <w:sz w:val="20"/>
                <w:szCs w:val="20"/>
              </w:rPr>
              <w:t xml:space="preserve">Marriage, divorce, </w:t>
            </w:r>
            <w:r w:rsidR="00175E77" w:rsidRPr="00B9652C">
              <w:rPr>
                <w:color w:val="1F497D" w:themeColor="text2"/>
                <w:sz w:val="20"/>
                <w:szCs w:val="20"/>
              </w:rPr>
              <w:t>legal separation, or annulment; g</w:t>
            </w:r>
            <w:r w:rsidRPr="00B9652C">
              <w:rPr>
                <w:color w:val="1F497D" w:themeColor="text2"/>
                <w:sz w:val="20"/>
                <w:szCs w:val="20"/>
              </w:rPr>
              <w:t xml:space="preserve">aining a dependent by birth, legal adoption of a child, or addition of a stepchild; </w:t>
            </w:r>
            <w:r w:rsidR="00175E77" w:rsidRPr="00B9652C">
              <w:rPr>
                <w:color w:val="1F497D" w:themeColor="text2"/>
                <w:sz w:val="20"/>
                <w:szCs w:val="20"/>
              </w:rPr>
              <w:t>l</w:t>
            </w:r>
            <w:r w:rsidRPr="00B9652C">
              <w:rPr>
                <w:color w:val="1F497D" w:themeColor="text2"/>
                <w:sz w:val="20"/>
                <w:szCs w:val="20"/>
              </w:rPr>
              <w:t>osing a spouse or dependent through death or if a dependent becomes ineligible; or</w:t>
            </w:r>
          </w:p>
          <w:p w:rsidR="0011287B" w:rsidRPr="00B9652C" w:rsidRDefault="0011287B" w:rsidP="00D4146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9652C">
              <w:rPr>
                <w:color w:val="1F497D" w:themeColor="text2"/>
                <w:sz w:val="20"/>
                <w:szCs w:val="20"/>
              </w:rPr>
              <w:t>Changes in your</w:t>
            </w:r>
            <w:r w:rsidR="00D85124">
              <w:rPr>
                <w:color w:val="1F497D" w:themeColor="text2"/>
                <w:sz w:val="20"/>
                <w:szCs w:val="20"/>
              </w:rPr>
              <w:t xml:space="preserve"> employment status or spouse’s/</w:t>
            </w:r>
            <w:bookmarkStart w:id="0" w:name="_GoBack"/>
            <w:bookmarkEnd w:id="0"/>
            <w:r w:rsidRPr="00B9652C">
              <w:rPr>
                <w:color w:val="1F497D" w:themeColor="text2"/>
                <w:sz w:val="20"/>
                <w:szCs w:val="20"/>
              </w:rPr>
              <w:t>dependent’s status.</w:t>
            </w:r>
          </w:p>
          <w:p w:rsidR="007470B8" w:rsidRPr="00491B2C" w:rsidRDefault="007470B8" w:rsidP="007470B8">
            <w:pPr>
              <w:pStyle w:val="ListParagraph"/>
            </w:pPr>
          </w:p>
        </w:tc>
      </w:tr>
    </w:tbl>
    <w:p w:rsidR="00014B38" w:rsidRPr="001860B8" w:rsidRDefault="00DC4AED" w:rsidP="0011287B">
      <w:pPr>
        <w:spacing w:before="60" w:after="60" w:line="240" w:lineRule="auto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0E800" wp14:editId="0421395F">
                <wp:simplePos x="0" y="0"/>
                <wp:positionH relativeFrom="column">
                  <wp:posOffset>-238125</wp:posOffset>
                </wp:positionH>
                <wp:positionV relativeFrom="paragraph">
                  <wp:posOffset>-95250</wp:posOffset>
                </wp:positionV>
                <wp:extent cx="9124950" cy="495300"/>
                <wp:effectExtent l="0" t="0" r="1905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50" cy="4953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3FA6" w:rsidRPr="000F789C" w:rsidRDefault="00386A56" w:rsidP="00CF742E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      </w:t>
                            </w:r>
                            <w:r w:rsidR="00B73FA6" w:rsidRPr="000F789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                                Spelman College Benefits </w:t>
                            </w:r>
                            <w:r w:rsidR="0049702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A</w:t>
                            </w:r>
                            <w:r w:rsidR="00B73FA6" w:rsidRPr="000F789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</w:t>
                            </w:r>
                            <w:r w:rsidR="0049702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A</w:t>
                            </w:r>
                            <w:r w:rsidR="00B73FA6" w:rsidRPr="000F789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Glance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.75pt;margin-top:-7.5pt;width:718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" fillcolor="#002060" strokeweight=".5pt">
                <v:path arrowok="t"/>
                <v:textbox>
                  <w:txbxContent>
                    <w:p w:rsidR="00B73FA6" w:rsidRPr="000F789C" w:rsidRDefault="00386A56" w:rsidP="00CF742E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      </w:t>
                      </w:r>
                      <w:r w:rsidR="00B73FA6" w:rsidRPr="000F789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                                Spelman College Benefits </w:t>
                      </w:r>
                      <w:proofErr w:type="gramStart"/>
                      <w:r w:rsidR="0049702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A</w:t>
                      </w:r>
                      <w:r w:rsidR="00B73FA6" w:rsidRPr="000F789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</w:t>
                      </w:r>
                      <w:proofErr w:type="gramEnd"/>
                      <w:r w:rsidR="0049702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A</w:t>
                      </w:r>
                      <w:r w:rsidR="00B73FA6" w:rsidRPr="000F789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Glance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789C" w:rsidRPr="001860B8">
        <w:rPr>
          <w:rFonts w:ascii="Times New Roman" w:hAnsi="Times New Roman" w:cs="Times New Roman"/>
          <w:color w:val="1F497D" w:themeColor="text2"/>
        </w:rPr>
        <w:t>S</w:t>
      </w:r>
      <w:r w:rsidR="0049702B">
        <w:rPr>
          <w:rFonts w:ascii="Times New Roman" w:hAnsi="Times New Roman" w:cs="Times New Roman"/>
          <w:color w:val="1F497D" w:themeColor="text2"/>
        </w:rPr>
        <w:t>pelCare,</w:t>
      </w:r>
      <w:r w:rsidR="00C52A26">
        <w:rPr>
          <w:rFonts w:ascii="Times New Roman" w:hAnsi="Times New Roman" w:cs="Times New Roman"/>
          <w:color w:val="1F497D" w:themeColor="text2"/>
        </w:rPr>
        <w:t xml:space="preserve"> </w:t>
      </w:r>
      <w:r w:rsidR="0049702B">
        <w:rPr>
          <w:rFonts w:ascii="Times New Roman" w:hAnsi="Times New Roman" w:cs="Times New Roman"/>
          <w:color w:val="1F497D" w:themeColor="text2"/>
        </w:rPr>
        <w:t>our comprehensive benefits program,</w:t>
      </w:r>
      <w:r w:rsidR="00C52A26">
        <w:rPr>
          <w:rFonts w:ascii="Times New Roman" w:hAnsi="Times New Roman" w:cs="Times New Roman"/>
          <w:color w:val="1F497D" w:themeColor="text2"/>
        </w:rPr>
        <w:t xml:space="preserve"> </w:t>
      </w:r>
      <w:r w:rsidR="0049702B">
        <w:rPr>
          <w:rFonts w:ascii="Times New Roman" w:hAnsi="Times New Roman" w:cs="Times New Roman"/>
          <w:color w:val="1F497D" w:themeColor="text2"/>
        </w:rPr>
        <w:t xml:space="preserve">captures the true purpose of our program, which is Spelman cares about its employees. This is why we offer </w:t>
      </w:r>
      <w:r w:rsidR="008E6A42">
        <w:rPr>
          <w:rFonts w:ascii="Times New Roman" w:hAnsi="Times New Roman" w:cs="Times New Roman"/>
          <w:color w:val="1F497D" w:themeColor="text2"/>
        </w:rPr>
        <w:t xml:space="preserve">great benefits including voluntary plans that allow you the opportunity to customize your selections to meet </w:t>
      </w:r>
      <w:r w:rsidR="00CB45CC">
        <w:rPr>
          <w:rFonts w:ascii="Times New Roman" w:hAnsi="Times New Roman" w:cs="Times New Roman"/>
          <w:color w:val="1F497D" w:themeColor="text2"/>
        </w:rPr>
        <w:t xml:space="preserve">your needs. </w:t>
      </w:r>
      <w:r w:rsidR="00CB45CC" w:rsidRPr="00CB45CC">
        <w:rPr>
          <w:rFonts w:ascii="Times New Roman" w:hAnsi="Times New Roman" w:cs="Times New Roman"/>
          <w:b/>
          <w:color w:val="1F497D" w:themeColor="text2"/>
        </w:rPr>
        <w:t>Open enrollment is the one time of year you have the opportunity to enroll or make changes to your benefit elections</w:t>
      </w:r>
      <w:r w:rsidR="00CB45CC">
        <w:rPr>
          <w:rFonts w:ascii="Times New Roman" w:hAnsi="Times New Roman" w:cs="Times New Roman"/>
          <w:color w:val="1F497D" w:themeColor="text2"/>
        </w:rPr>
        <w:t>. F</w:t>
      </w:r>
      <w:r w:rsidR="000F789C" w:rsidRPr="001860B8">
        <w:rPr>
          <w:rFonts w:ascii="Times New Roman" w:hAnsi="Times New Roman" w:cs="Times New Roman"/>
          <w:color w:val="1F497D" w:themeColor="text2"/>
        </w:rPr>
        <w:t xml:space="preserve">ull-time </w:t>
      </w:r>
      <w:r w:rsidR="00CB45CC">
        <w:rPr>
          <w:rFonts w:ascii="Times New Roman" w:hAnsi="Times New Roman" w:cs="Times New Roman"/>
          <w:color w:val="1F497D" w:themeColor="text2"/>
        </w:rPr>
        <w:t xml:space="preserve">employees </w:t>
      </w:r>
      <w:r w:rsidR="008E6A42">
        <w:rPr>
          <w:rFonts w:ascii="Times New Roman" w:hAnsi="Times New Roman" w:cs="Times New Roman"/>
          <w:color w:val="1F497D" w:themeColor="text2"/>
        </w:rPr>
        <w:t>and their eligible dependents are eligible to enroll in the benefits</w:t>
      </w:r>
      <w:r w:rsidR="000F789C" w:rsidRPr="001860B8">
        <w:rPr>
          <w:rFonts w:ascii="Times New Roman" w:hAnsi="Times New Roman" w:cs="Times New Roman"/>
          <w:color w:val="1F497D" w:themeColor="text2"/>
        </w:rPr>
        <w:t xml:space="preserve">. </w:t>
      </w:r>
      <w:r w:rsidRPr="001860B8">
        <w:rPr>
          <w:rFonts w:ascii="Arial" w:hAnsi="Arial" w:cs="Arial"/>
          <w:color w:val="1F497D" w:themeColor="text2"/>
        </w:rPr>
        <w:t xml:space="preserve"> </w:t>
      </w:r>
      <w:r w:rsidR="00CB45CC">
        <w:rPr>
          <w:rFonts w:ascii="Arial" w:hAnsi="Arial" w:cs="Arial"/>
          <w:color w:val="1F497D" w:themeColor="text2"/>
        </w:rPr>
        <w:t>B</w:t>
      </w:r>
      <w:r w:rsidR="00C52A26" w:rsidRPr="00C52A26">
        <w:rPr>
          <w:rFonts w:ascii="Times New Roman" w:hAnsi="Times New Roman" w:cs="Times New Roman"/>
          <w:color w:val="1F497D" w:themeColor="text2"/>
        </w:rPr>
        <w:t>enefits are governed by plan documents and policies</w:t>
      </w:r>
      <w:r w:rsidR="00CB45CC">
        <w:rPr>
          <w:rFonts w:ascii="Times New Roman" w:hAnsi="Times New Roman" w:cs="Times New Roman"/>
          <w:color w:val="1F497D" w:themeColor="text2"/>
        </w:rPr>
        <w:t xml:space="preserve">, and plans may </w:t>
      </w:r>
      <w:r w:rsidR="000F789C" w:rsidRPr="001860B8">
        <w:rPr>
          <w:rFonts w:ascii="Times New Roman" w:hAnsi="Times New Roman" w:cs="Times New Roman"/>
          <w:color w:val="1F497D" w:themeColor="text2"/>
        </w:rPr>
        <w:t xml:space="preserve">change or </w:t>
      </w:r>
      <w:r w:rsidR="00CB45CC">
        <w:rPr>
          <w:rFonts w:ascii="Times New Roman" w:hAnsi="Times New Roman" w:cs="Times New Roman"/>
          <w:color w:val="1F497D" w:themeColor="text2"/>
        </w:rPr>
        <w:t xml:space="preserve">be cancelled </w:t>
      </w:r>
      <w:r w:rsidR="000F789C" w:rsidRPr="001860B8">
        <w:rPr>
          <w:rFonts w:ascii="Times New Roman" w:hAnsi="Times New Roman" w:cs="Times New Roman"/>
          <w:color w:val="1F497D" w:themeColor="text2"/>
        </w:rPr>
        <w:t xml:space="preserve">at any time. </w:t>
      </w:r>
    </w:p>
    <w:p w:rsidR="00405578" w:rsidRPr="00F11AE3" w:rsidRDefault="00405578" w:rsidP="0011287B">
      <w:pPr>
        <w:spacing w:before="60" w:after="6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6284"/>
      </w:tblGrid>
      <w:tr w:rsidR="0056757D" w:rsidTr="00405578">
        <w:trPr>
          <w:trHeight w:val="827"/>
        </w:trPr>
        <w:tc>
          <w:tcPr>
            <w:tcW w:w="6390" w:type="dxa"/>
          </w:tcPr>
          <w:p w:rsidR="00405578" w:rsidRPr="00CF742E" w:rsidRDefault="00405578" w:rsidP="00DB5BE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B5BE9" w:rsidRPr="00CF742E" w:rsidRDefault="00BC39F4" w:rsidP="00BC39F4">
            <w:pPr>
              <w:jc w:val="center"/>
              <w:rPr>
                <w:rFonts w:ascii="Times New Roman" w:hAnsi="Times New Roman" w:cs="Times New Roman"/>
                <w:color w:val="1F497D" w:themeColor="text2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44"/>
                <w:szCs w:val="44"/>
              </w:rPr>
              <w:t xml:space="preserve">Comprehensive </w:t>
            </w:r>
            <w:r w:rsidR="00DB5BE9" w:rsidRPr="00CF742E">
              <w:rPr>
                <w:rFonts w:ascii="Times New Roman" w:hAnsi="Times New Roman" w:cs="Times New Roman"/>
                <w:color w:val="1F497D" w:themeColor="text2"/>
                <w:sz w:val="44"/>
                <w:szCs w:val="44"/>
              </w:rPr>
              <w:t xml:space="preserve">Benefits </w:t>
            </w:r>
          </w:p>
        </w:tc>
      </w:tr>
    </w:tbl>
    <w:p w:rsidR="00FE590B" w:rsidRPr="00D41465" w:rsidRDefault="00FE590B" w:rsidP="00491B2C">
      <w:pPr>
        <w:spacing w:after="0" w:line="240" w:lineRule="auto"/>
        <w:rPr>
          <w:rFonts w:ascii="Arial" w:hAnsi="Arial" w:cs="Arial"/>
          <w:b/>
          <w:color w:val="0000FF"/>
          <w:sz w:val="24"/>
          <w:szCs w:val="24"/>
        </w:rPr>
      </w:pPr>
    </w:p>
    <w:p w:rsidR="00491B2C" w:rsidRDefault="00DC4AED"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B70F2" wp14:editId="64F8B8B2">
                <wp:simplePos x="0" y="0"/>
                <wp:positionH relativeFrom="margin">
                  <wp:posOffset>-238125</wp:posOffset>
                </wp:positionH>
                <wp:positionV relativeFrom="margin">
                  <wp:posOffset>1971675</wp:posOffset>
                </wp:positionV>
                <wp:extent cx="3476625" cy="42386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6625" cy="423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3FA6" w:rsidRPr="00AD4E42" w:rsidRDefault="00386A56" w:rsidP="0040557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Medical</w:t>
                            </w:r>
                            <w:r w:rsidR="00B73FA6"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&amp; Prescription Drug Insurance (Cigna)</w:t>
                            </w:r>
                          </w:p>
                          <w:p w:rsidR="00B73FA6" w:rsidRPr="00AD4E42" w:rsidRDefault="00B73FA6" w:rsidP="0040557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Dental Insurance (Cigna)</w:t>
                            </w:r>
                          </w:p>
                          <w:p w:rsidR="00B73FA6" w:rsidRPr="00AD4E42" w:rsidRDefault="00B73FA6" w:rsidP="0040557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Vision Insurance (Cigna)</w:t>
                            </w:r>
                          </w:p>
                          <w:p w:rsidR="00B73FA6" w:rsidRPr="00AD4E42" w:rsidRDefault="00307212" w:rsidP="0040557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5811A3">
                              <w:rPr>
                                <w:color w:val="1F497D" w:themeColor="text2"/>
                                <w:sz w:val="18"/>
                                <w:szCs w:val="18"/>
                              </w:rPr>
                              <w:t>Basic</w:t>
                            </w:r>
                            <w:r w:rsidR="005811A3">
                              <w:rPr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Life &amp; AD&amp;D,</w:t>
                            </w:r>
                            <w:r w:rsidR="005811A3" w:rsidRPr="005811A3">
                              <w:rPr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11A3">
                              <w:rPr>
                                <w:color w:val="1F497D" w:themeColor="text2"/>
                                <w:sz w:val="18"/>
                                <w:szCs w:val="18"/>
                              </w:rPr>
                              <w:t>Additional Life</w:t>
                            </w:r>
                            <w:r w:rsidR="00B73FA6" w:rsidRPr="005811A3">
                              <w:rPr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and L</w:t>
                            </w:r>
                            <w:r w:rsidR="00E85420" w:rsidRPr="005811A3">
                              <w:rPr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TD </w:t>
                            </w:r>
                            <w:r w:rsidR="00B73FA6" w:rsidRPr="005811A3">
                              <w:rPr>
                                <w:color w:val="1F497D" w:themeColor="text2"/>
                                <w:sz w:val="18"/>
                                <w:szCs w:val="18"/>
                              </w:rPr>
                              <w:t>Insurance (Cigna</w:t>
                            </w:r>
                            <w:r w:rsidR="00B73FA6"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73FA6" w:rsidRPr="00AD4E42" w:rsidRDefault="00116DEA" w:rsidP="003072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Short Term</w:t>
                            </w:r>
                            <w:r w:rsidR="005811A3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Disability/Cancer </w:t>
                            </w:r>
                            <w:r w:rsidR="006A4F27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Care </w:t>
                            </w:r>
                            <w:r w:rsidR="00002171"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Insurance</w:t>
                            </w:r>
                            <w:r w:rsidR="00307212"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(AFLAC)</w:t>
                            </w:r>
                          </w:p>
                          <w:p w:rsidR="00B73FA6" w:rsidRPr="00AD4E42" w:rsidRDefault="00B73FA6" w:rsidP="0040557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Fle</w:t>
                            </w:r>
                            <w:r w:rsidR="00307212"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xible Spending Accounts (Payflex</w:t>
                            </w:r>
                            <w:r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73FA6" w:rsidRPr="00AD4E42" w:rsidRDefault="00B73FA6" w:rsidP="0040557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403(b) Retirement Savings Program</w:t>
                            </w:r>
                            <w:r w:rsidR="00307212"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(TIAA</w:t>
                            </w:r>
                            <w:r w:rsidR="00386A56"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-</w:t>
                            </w:r>
                            <w:r w:rsidR="00307212"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CREF)</w:t>
                            </w:r>
                          </w:p>
                          <w:p w:rsidR="00B73FA6" w:rsidRPr="00AD4E42" w:rsidRDefault="00B73FA6" w:rsidP="0040557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Employee Assistance Program</w:t>
                            </w:r>
                            <w:r w:rsidR="00307212"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(Magellan)</w:t>
                            </w:r>
                          </w:p>
                          <w:p w:rsidR="00B73FA6" w:rsidRPr="00AD4E42" w:rsidRDefault="00B73FA6" w:rsidP="0040557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Wellness Programs</w:t>
                            </w:r>
                            <w:r w:rsidR="00307212"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(Cigna)</w:t>
                            </w:r>
                            <w:r w:rsidR="00386A56"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and on campus Wellness Center</w:t>
                            </w:r>
                          </w:p>
                          <w:p w:rsidR="00B73FA6" w:rsidRPr="00AD4E42" w:rsidRDefault="00B73FA6" w:rsidP="0040557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Long Term Care Insurance (Unum)</w:t>
                            </w:r>
                          </w:p>
                          <w:p w:rsidR="00307212" w:rsidRPr="00AD4E42" w:rsidRDefault="00307212" w:rsidP="003072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Paid Time Off &amp; Holidays</w:t>
                            </w:r>
                          </w:p>
                          <w:p w:rsidR="00307212" w:rsidRPr="00AD4E42" w:rsidRDefault="00386A56" w:rsidP="003072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Tuition Reimbursement and Tuition Waiver Program</w:t>
                            </w:r>
                            <w:r w:rsidR="005811A3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307212" w:rsidRPr="00AD4E42" w:rsidRDefault="00386A56" w:rsidP="0040557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4E42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Pre-Paid Legal (ARAG)</w:t>
                            </w:r>
                          </w:p>
                          <w:p w:rsidR="00B73FA6" w:rsidRPr="00E833EF" w:rsidRDefault="00B73FA6" w:rsidP="00014B38">
                            <w:pPr>
                              <w:spacing w:before="60" w:after="60"/>
                              <w:ind w:left="360"/>
                              <w:rPr>
                                <w:rFonts w:ascii="Arial" w:hAnsi="Arial" w:cs="Arial"/>
                                <w:color w:val="021C88"/>
                                <w:sz w:val="24"/>
                                <w:szCs w:val="24"/>
                              </w:rPr>
                            </w:pPr>
                            <w:r w:rsidRPr="00E833EF">
                              <w:rPr>
                                <w:rFonts w:ascii="Arial" w:hAnsi="Arial" w:cs="Arial"/>
                                <w:color w:val="021C88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8.75pt;margin-top:155.25pt;width:273.75pt;height:333.7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" filled="f" stroked="f" strokeweight=".5pt">
                <v:path arrowok="t"/>
                <v:textbox>
                  <w:txbxContent>
                    <w:p w:rsidR="00B73FA6" w:rsidRPr="00AD4E42" w:rsidRDefault="00386A56" w:rsidP="0040557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>Medical</w:t>
                      </w:r>
                      <w:r w:rsidR="00B73FA6"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&amp; Prescription Drug Insurance (Cigna)</w:t>
                      </w:r>
                    </w:p>
                    <w:p w:rsidR="00B73FA6" w:rsidRPr="00AD4E42" w:rsidRDefault="00B73FA6" w:rsidP="0040557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>Dental Insurance (Cigna)</w:t>
                      </w:r>
                    </w:p>
                    <w:p w:rsidR="00B73FA6" w:rsidRPr="00AD4E42" w:rsidRDefault="00B73FA6" w:rsidP="0040557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>Vision Insurance (Cigna)</w:t>
                      </w:r>
                    </w:p>
                    <w:p w:rsidR="00B73FA6" w:rsidRPr="00AD4E42" w:rsidRDefault="00307212" w:rsidP="0040557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5811A3">
                        <w:rPr>
                          <w:color w:val="1F497D" w:themeColor="text2"/>
                          <w:sz w:val="18"/>
                          <w:szCs w:val="18"/>
                        </w:rPr>
                        <w:t>Basic</w:t>
                      </w:r>
                      <w:r w:rsidR="005811A3">
                        <w:rPr>
                          <w:color w:val="1F497D" w:themeColor="text2"/>
                          <w:sz w:val="18"/>
                          <w:szCs w:val="18"/>
                        </w:rPr>
                        <w:t xml:space="preserve"> Life &amp; AD&amp;D,</w:t>
                      </w:r>
                      <w:r w:rsidR="005811A3" w:rsidRPr="005811A3">
                        <w:rPr>
                          <w:color w:val="1F497D" w:themeColor="text2"/>
                          <w:sz w:val="18"/>
                          <w:szCs w:val="18"/>
                        </w:rPr>
                        <w:t xml:space="preserve"> </w:t>
                      </w:r>
                      <w:r w:rsidRPr="005811A3">
                        <w:rPr>
                          <w:color w:val="1F497D" w:themeColor="text2"/>
                          <w:sz w:val="18"/>
                          <w:szCs w:val="18"/>
                        </w:rPr>
                        <w:t>Additional Life</w:t>
                      </w:r>
                      <w:r w:rsidR="00B73FA6" w:rsidRPr="005811A3">
                        <w:rPr>
                          <w:color w:val="1F497D" w:themeColor="text2"/>
                          <w:sz w:val="18"/>
                          <w:szCs w:val="18"/>
                        </w:rPr>
                        <w:t xml:space="preserve"> and L</w:t>
                      </w:r>
                      <w:r w:rsidR="00E85420" w:rsidRPr="005811A3">
                        <w:rPr>
                          <w:color w:val="1F497D" w:themeColor="text2"/>
                          <w:sz w:val="18"/>
                          <w:szCs w:val="18"/>
                        </w:rPr>
                        <w:t xml:space="preserve">TD </w:t>
                      </w:r>
                      <w:r w:rsidR="00B73FA6" w:rsidRPr="005811A3">
                        <w:rPr>
                          <w:color w:val="1F497D" w:themeColor="text2"/>
                          <w:sz w:val="18"/>
                          <w:szCs w:val="18"/>
                        </w:rPr>
                        <w:t>Insurance (Cigna</w:t>
                      </w:r>
                      <w:r w:rsidR="00B73FA6"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>)</w:t>
                      </w:r>
                    </w:p>
                    <w:p w:rsidR="00B73FA6" w:rsidRPr="00AD4E42" w:rsidRDefault="00116DEA" w:rsidP="003072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>Short Term</w:t>
                      </w:r>
                      <w:r w:rsidR="005811A3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Disability/Cancer </w:t>
                      </w:r>
                      <w:r w:rsidR="006A4F27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Care </w:t>
                      </w:r>
                      <w:r w:rsidR="00002171"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>Insurance</w:t>
                      </w:r>
                      <w:r w:rsidR="00307212"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(AFLAC)</w:t>
                      </w:r>
                    </w:p>
                    <w:p w:rsidR="00B73FA6" w:rsidRPr="00AD4E42" w:rsidRDefault="00B73FA6" w:rsidP="0040557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>Fle</w:t>
                      </w:r>
                      <w:r w:rsidR="00307212"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>xible Spending Accounts (Payflex</w:t>
                      </w:r>
                      <w:r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>)</w:t>
                      </w:r>
                    </w:p>
                    <w:p w:rsidR="00B73FA6" w:rsidRPr="00AD4E42" w:rsidRDefault="00B73FA6" w:rsidP="0040557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>403(b) Retirement Savings Program</w:t>
                      </w:r>
                      <w:r w:rsidR="00307212"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(TIAA</w:t>
                      </w:r>
                      <w:r w:rsidR="00386A56"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>-</w:t>
                      </w:r>
                      <w:r w:rsidR="00307212"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>CREF)</w:t>
                      </w:r>
                    </w:p>
                    <w:p w:rsidR="00B73FA6" w:rsidRPr="00AD4E42" w:rsidRDefault="00B73FA6" w:rsidP="0040557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>Employee Assistance Program</w:t>
                      </w:r>
                      <w:r w:rsidR="00307212"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(Magellan)</w:t>
                      </w:r>
                    </w:p>
                    <w:p w:rsidR="00B73FA6" w:rsidRPr="00AD4E42" w:rsidRDefault="00B73FA6" w:rsidP="0040557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>Wellness Programs</w:t>
                      </w:r>
                      <w:r w:rsidR="00307212"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(Cigna)</w:t>
                      </w:r>
                      <w:r w:rsidR="00386A56"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and on campus Wellness Center</w:t>
                      </w:r>
                    </w:p>
                    <w:p w:rsidR="00B73FA6" w:rsidRPr="00AD4E42" w:rsidRDefault="00B73FA6" w:rsidP="0040557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>Long Term Care Insurance (Unum)</w:t>
                      </w:r>
                    </w:p>
                    <w:p w:rsidR="00307212" w:rsidRPr="00AD4E42" w:rsidRDefault="00307212" w:rsidP="003072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>Paid Time Off &amp; Holidays</w:t>
                      </w:r>
                    </w:p>
                    <w:p w:rsidR="00307212" w:rsidRPr="00AD4E42" w:rsidRDefault="00386A56" w:rsidP="003072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>Tuition Reimbursement and Tuition Waiver Program</w:t>
                      </w:r>
                      <w:r w:rsidR="005811A3">
                        <w:rPr>
                          <w:color w:val="1F497D" w:themeColor="text2"/>
                          <w:sz w:val="20"/>
                          <w:szCs w:val="20"/>
                        </w:rPr>
                        <w:t>s</w:t>
                      </w:r>
                    </w:p>
                    <w:p w:rsidR="00307212" w:rsidRPr="00AD4E42" w:rsidRDefault="00386A56" w:rsidP="0040557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4E42">
                        <w:rPr>
                          <w:color w:val="1F497D" w:themeColor="text2"/>
                          <w:sz w:val="20"/>
                          <w:szCs w:val="20"/>
                        </w:rPr>
                        <w:t>Pre-Paid Legal (ARAG)</w:t>
                      </w:r>
                    </w:p>
                    <w:p w:rsidR="00B73FA6" w:rsidRPr="00E833EF" w:rsidRDefault="00B73FA6" w:rsidP="00014B38">
                      <w:pPr>
                        <w:spacing w:before="60" w:after="60"/>
                        <w:ind w:left="360"/>
                        <w:rPr>
                          <w:rFonts w:ascii="Arial" w:hAnsi="Arial" w:cs="Arial"/>
                          <w:color w:val="021C88"/>
                          <w:sz w:val="24"/>
                          <w:szCs w:val="24"/>
                        </w:rPr>
                      </w:pPr>
                      <w:r w:rsidRPr="00E833EF">
                        <w:rPr>
                          <w:rFonts w:ascii="Arial" w:hAnsi="Arial" w:cs="Arial"/>
                          <w:color w:val="021C88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91B2C" w:rsidRPr="00D22E66" w:rsidRDefault="00491B2C">
      <w:pPr>
        <w:rPr>
          <w:color w:val="FFFFFF" w:themeColor="background1"/>
        </w:rPr>
      </w:pPr>
      <w:r w:rsidRPr="00D22E66">
        <w:rPr>
          <w:color w:val="FFFFFF" w:themeColor="background1"/>
        </w:rPr>
        <w:br w:type="page"/>
      </w:r>
    </w:p>
    <w:tbl>
      <w:tblPr>
        <w:tblStyle w:val="TableGrid"/>
        <w:tblpPr w:leftFromText="180" w:rightFromText="180" w:vertAnchor="text" w:horzAnchor="margin" w:tblpXSpec="center" w:tblpY="-569"/>
        <w:tblW w:w="5000" w:type="pct"/>
        <w:tblLook w:val="04A0" w:firstRow="1" w:lastRow="0" w:firstColumn="1" w:lastColumn="0" w:noHBand="0" w:noVBand="1"/>
      </w:tblPr>
      <w:tblGrid>
        <w:gridCol w:w="3986"/>
        <w:gridCol w:w="10090"/>
      </w:tblGrid>
      <w:tr w:rsidR="00F11AE3" w:rsidRPr="00D436AB" w:rsidTr="00F06578">
        <w:trPr>
          <w:trHeight w:val="349"/>
        </w:trPr>
        <w:tc>
          <w:tcPr>
            <w:tcW w:w="1416" w:type="pct"/>
            <w:shd w:val="clear" w:color="auto" w:fill="002060"/>
          </w:tcPr>
          <w:p w:rsidR="00F11AE3" w:rsidRPr="00B73FA6" w:rsidRDefault="00F11AE3" w:rsidP="00D436A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73FA6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Benefit</w:t>
            </w:r>
            <w:r w:rsidR="00405578" w:rsidRPr="00B73FA6">
              <w:rPr>
                <w:rFonts w:ascii="Times New Roman" w:hAnsi="Times New Roman" w:cs="Times New Roman"/>
                <w:b/>
                <w:sz w:val="19"/>
                <w:szCs w:val="19"/>
              </w:rPr>
              <w:t>/Description</w:t>
            </w:r>
          </w:p>
        </w:tc>
        <w:tc>
          <w:tcPr>
            <w:tcW w:w="3584" w:type="pct"/>
            <w:shd w:val="clear" w:color="auto" w:fill="002060"/>
          </w:tcPr>
          <w:p w:rsidR="00F11AE3" w:rsidRPr="00B73FA6" w:rsidRDefault="00805BD0" w:rsidP="00D436A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73FA6">
              <w:rPr>
                <w:rFonts w:ascii="Times New Roman" w:hAnsi="Times New Roman" w:cs="Times New Roman"/>
                <w:b/>
                <w:sz w:val="19"/>
                <w:szCs w:val="19"/>
              </w:rPr>
              <w:t>Employee Monthly Cost</w:t>
            </w:r>
            <w:r w:rsidR="00426BB8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and  Effective  Date of Coverage</w:t>
            </w:r>
          </w:p>
        </w:tc>
      </w:tr>
      <w:tr w:rsidR="00F11AE3" w:rsidRPr="00D436AB" w:rsidTr="00AC6641">
        <w:trPr>
          <w:trHeight w:val="848"/>
        </w:trPr>
        <w:tc>
          <w:tcPr>
            <w:tcW w:w="1416" w:type="pct"/>
            <w:shd w:val="clear" w:color="auto" w:fill="B7D2FF"/>
          </w:tcPr>
          <w:p w:rsidR="00F06578" w:rsidRDefault="00F06578" w:rsidP="00AC6641">
            <w:pPr>
              <w:ind w:right="-468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  <w:p w:rsidR="00F06578" w:rsidRDefault="00F11AE3" w:rsidP="00F06578">
            <w:pPr>
              <w:ind w:right="-468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Medical Insurance </w:t>
            </w:r>
            <w:r w:rsidR="00E01CB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(Cign</w:t>
            </w:r>
            <w:r w:rsidR="00E01CB8" w:rsidRPr="00426BB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a) </w:t>
            </w:r>
            <w:r w:rsidR="00D328DC" w:rsidRPr="00426BB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-</w:t>
            </w:r>
            <w:r w:rsidR="00426BB8" w:rsidRPr="00426BB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 w:rsidR="00405578"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Medical insurance</w:t>
            </w:r>
          </w:p>
          <w:p w:rsidR="00CC014B" w:rsidRPr="00E01CB8" w:rsidRDefault="00405578" w:rsidP="00F06578">
            <w:pPr>
              <w:ind w:right="-468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proofErr w:type="gramStart"/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for</w:t>
            </w:r>
            <w:proofErr w:type="gramEnd"/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employees,</w:t>
            </w:r>
            <w:r w:rsidR="00E4790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spouse, domestic partner, and/</w:t>
            </w: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or dependents.</w:t>
            </w:r>
            <w:r w:rsidR="00DB36A2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</w:p>
        </w:tc>
        <w:tc>
          <w:tcPr>
            <w:tcW w:w="3584" w:type="pct"/>
            <w:shd w:val="clear" w:color="auto" w:fill="B7D2FF"/>
          </w:tcPr>
          <w:p w:rsidR="00F11AE3" w:rsidRPr="00405578" w:rsidRDefault="00F06578" w:rsidP="00F06578">
            <w:pPr>
              <w:tabs>
                <w:tab w:val="left" w:pos="4272"/>
                <w:tab w:val="left" w:pos="4392"/>
                <w:tab w:val="left" w:pos="5112"/>
              </w:tabs>
              <w:ind w:right="3042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     </w:t>
            </w:r>
            <w:r w:rsidR="00F11AE3"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      </w:t>
            </w:r>
            <w:r w:rsidR="00F11AE3"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Open Access Plus</w:t>
            </w:r>
            <w:r w:rsidR="006729B1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In Network</w:t>
            </w:r>
            <w:r w:rsidR="00F11AE3"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(OAP- In)  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 w:rsidR="00F11AE3"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   </w:t>
            </w:r>
            <w:r w:rsidR="006729B1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      </w:t>
            </w:r>
            <w:r w:rsidR="00F11AE3"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Open Access Plus</w:t>
            </w:r>
            <w:r w:rsidR="006729B1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(OAP) </w:t>
            </w:r>
            <w:r w:rsidR="00F11AE3"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Employee On</w:t>
            </w:r>
            <w:r w:rsidR="00473F1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ly:                       $135.15</w:t>
            </w:r>
            <w:r w:rsidR="00F11AE3"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              </w:t>
            </w:r>
            <w:r w:rsidR="00473F1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                      </w:t>
            </w:r>
            <w:r w:rsidR="006729B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   </w:t>
            </w:r>
            <w:r w:rsidR="00473F1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$90.96</w:t>
            </w:r>
          </w:p>
          <w:p w:rsidR="00F11AE3" w:rsidRPr="00405578" w:rsidRDefault="00F11AE3" w:rsidP="00F11AE3">
            <w:pP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Employee +1:        </w:t>
            </w:r>
            <w:r w:rsidR="00473F1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                $279.76      </w:t>
            </w: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                       </w:t>
            </w:r>
            <w:r w:rsidR="00473F1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      </w:t>
            </w:r>
            <w:r w:rsidR="006729B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     </w:t>
            </w:r>
            <w:r w:rsidR="00473F1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$249.55</w:t>
            </w:r>
          </w:p>
          <w:p w:rsidR="00F11AE3" w:rsidRDefault="00F11AE3" w:rsidP="006729B1">
            <w:pPr>
              <w:ind w:right="-468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Family:                </w:t>
            </w:r>
            <w:r w:rsidR="00473F1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                  $329.76</w:t>
            </w: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                                  </w:t>
            </w:r>
            <w:r w:rsidR="00473F1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</w:t>
            </w:r>
            <w:r w:rsidR="006729B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     </w:t>
            </w:r>
            <w:r w:rsidR="00473F1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$29</w:t>
            </w:r>
            <w:r w:rsidR="00473F1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4.16</w:t>
            </w:r>
          </w:p>
          <w:p w:rsidR="00426BB8" w:rsidRDefault="00426BB8" w:rsidP="006729B1">
            <w:pPr>
              <w:ind w:right="-468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</w:p>
          <w:p w:rsidR="00AC6641" w:rsidRDefault="0064333F" w:rsidP="00AC6641">
            <w:pPr>
              <w:ind w:right="-468"/>
              <w:jc w:val="center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*</w:t>
            </w:r>
            <w:r w:rsidR="00426BB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The effective date of coverage is the first of the month after </w:t>
            </w:r>
            <w:r w:rsidR="00730673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the</w:t>
            </w:r>
            <w:r w:rsidR="00C177D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hire date.</w:t>
            </w:r>
            <w:r w:rsidR="00426BB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If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the</w:t>
            </w:r>
            <w:r w:rsidR="00C177D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hire date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="00AC664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is the</w:t>
            </w:r>
          </w:p>
          <w:p w:rsidR="00AC6641" w:rsidRDefault="00F06578" w:rsidP="00840B1A">
            <w:pPr>
              <w:ind w:right="-468"/>
              <w:jc w:val="center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f</w:t>
            </w:r>
            <w:r w:rsidR="00AC664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irst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="0064333F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day </w:t>
            </w:r>
            <w:r w:rsidR="00426BB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of t</w:t>
            </w:r>
            <w:r w:rsidR="0064333F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="00AC664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month </w:t>
            </w:r>
            <w:r w:rsidR="0064333F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and falls on a work</w:t>
            </w:r>
            <w:r w:rsidR="006F3F4D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="0064333F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day coverage is </w:t>
            </w:r>
            <w:r w:rsidR="00840B1A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effective on the hire date.</w:t>
            </w:r>
          </w:p>
          <w:p w:rsidR="00840B1A" w:rsidRPr="0064333F" w:rsidRDefault="00840B1A" w:rsidP="00840B1A">
            <w:pPr>
              <w:ind w:right="-468"/>
              <w:jc w:val="center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</w:p>
        </w:tc>
      </w:tr>
      <w:tr w:rsidR="00F11AE3" w:rsidRPr="00D436AB" w:rsidTr="00AC6641">
        <w:trPr>
          <w:trHeight w:val="857"/>
        </w:trPr>
        <w:tc>
          <w:tcPr>
            <w:tcW w:w="1416" w:type="pct"/>
          </w:tcPr>
          <w:p w:rsidR="00F06578" w:rsidRDefault="00F06578" w:rsidP="00AC6641">
            <w:pPr>
              <w:ind w:right="-468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  <w:p w:rsidR="00E01CB8" w:rsidRPr="00D328DC" w:rsidRDefault="00F11AE3" w:rsidP="00F06578">
            <w:pPr>
              <w:ind w:right="-468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Dental Insurance</w:t>
            </w:r>
            <w:r w:rsidR="00C3050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(Cigna)</w:t>
            </w:r>
            <w:r w:rsidR="00DB36A2" w:rsidRPr="00426BB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 w:rsidR="00D328DC" w:rsidRPr="00426BB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-</w:t>
            </w:r>
            <w:r w:rsidR="00E4790B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 w:rsidR="00E01CB8"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Dental insurance for employees,</w:t>
            </w:r>
            <w:r w:rsidR="00E4790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spouse, domestic partner, and/</w:t>
            </w:r>
            <w:r w:rsidR="00E01CB8"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or dependents.</w:t>
            </w:r>
            <w:r w:rsidR="00DB36A2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="00CC014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</w:p>
        </w:tc>
        <w:tc>
          <w:tcPr>
            <w:tcW w:w="3584" w:type="pct"/>
          </w:tcPr>
          <w:p w:rsidR="00F11AE3" w:rsidRPr="00405578" w:rsidRDefault="00F11AE3" w:rsidP="00F11AE3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                                   Dental HMO (DHMO)</w:t>
            </w:r>
            <w:r w:rsidR="00DB5BE9"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             </w:t>
            </w:r>
            <w:r w:rsidR="006729B1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                </w:t>
            </w:r>
            <w:r w:rsidR="00DB5BE9"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Dental PPO (DPPO)</w:t>
            </w:r>
          </w:p>
          <w:p w:rsidR="00F11AE3" w:rsidRPr="00405578" w:rsidRDefault="00F11AE3" w:rsidP="00F11AE3">
            <w:pP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Employee Only:                       $6.00                                           </w:t>
            </w:r>
            <w:r w:rsidR="00D328DC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="006729B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  </w:t>
            </w:r>
            <w:r w:rsidR="00D328DC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="006729B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</w:t>
            </w: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$10.00</w:t>
            </w:r>
          </w:p>
          <w:p w:rsidR="00F11AE3" w:rsidRPr="00405578" w:rsidRDefault="00F11AE3" w:rsidP="00F11AE3">
            <w:pP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Employee +1:                           $10.00                                         </w:t>
            </w:r>
            <w:r w:rsidR="00D328DC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="006729B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   </w:t>
            </w:r>
            <w:r w:rsidR="00D328DC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="006729B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$22.00</w:t>
            </w:r>
          </w:p>
          <w:p w:rsidR="00F11AE3" w:rsidRDefault="00F11AE3" w:rsidP="00F11AE3">
            <w:pP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Family:                                     $17.00                                         </w:t>
            </w:r>
            <w:r w:rsidR="00D328DC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="006729B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 </w:t>
            </w:r>
            <w:r w:rsidR="00D328DC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="006729B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</w:t>
            </w: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$26.00</w:t>
            </w:r>
          </w:p>
          <w:p w:rsidR="0064333F" w:rsidRDefault="0064333F" w:rsidP="00F11AE3">
            <w:pP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</w:p>
          <w:p w:rsidR="00F06578" w:rsidRDefault="00AC6641" w:rsidP="00F06578">
            <w:pPr>
              <w:ind w:right="-468"/>
              <w:jc w:val="center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*The effective date of coverage is the first of the month after the </w:t>
            </w:r>
            <w:r w:rsidR="00C177D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hire date.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If the</w:t>
            </w:r>
            <w:r w:rsidR="00C177D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hire date is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the</w:t>
            </w:r>
          </w:p>
          <w:p w:rsidR="00AC6641" w:rsidRDefault="00F06578" w:rsidP="00F06578">
            <w:pPr>
              <w:ind w:right="-468"/>
              <w:jc w:val="center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f</w:t>
            </w:r>
            <w:r w:rsidR="00AC664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irst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="00AC664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day of the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="00AC664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month and falls on a work day coverage is effective on the</w:t>
            </w:r>
            <w:r w:rsidR="00840B1A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hire date.</w:t>
            </w:r>
          </w:p>
          <w:p w:rsidR="0064333F" w:rsidRPr="00405578" w:rsidRDefault="0064333F" w:rsidP="00AC6641">
            <w:pPr>
              <w:ind w:right="-46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AE3" w:rsidRPr="00D436AB" w:rsidTr="00F06578">
        <w:trPr>
          <w:trHeight w:val="893"/>
        </w:trPr>
        <w:tc>
          <w:tcPr>
            <w:tcW w:w="1416" w:type="pct"/>
            <w:shd w:val="clear" w:color="auto" w:fill="B7D2FF"/>
          </w:tcPr>
          <w:p w:rsidR="00F06578" w:rsidRDefault="00F06578" w:rsidP="00F06578">
            <w:pPr>
              <w:ind w:right="-468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  <w:p w:rsidR="00F06578" w:rsidRDefault="00F11AE3" w:rsidP="00F06578">
            <w:pPr>
              <w:ind w:right="-468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Vision Plan</w:t>
            </w:r>
            <w:r w:rsidR="00E01CB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(Cigna)</w:t>
            </w:r>
            <w:r w:rsidR="00426BB8" w:rsidRPr="00426BB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 w:rsidR="00D328DC" w:rsidRPr="00426BB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-</w:t>
            </w:r>
            <w:r w:rsidR="00E01CB8"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Vision insurance for </w:t>
            </w:r>
          </w:p>
          <w:p w:rsidR="00E01CB8" w:rsidRPr="00D328DC" w:rsidRDefault="00E01CB8" w:rsidP="00F06578">
            <w:pPr>
              <w:ind w:right="-468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proofErr w:type="gramStart"/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employees</w:t>
            </w:r>
            <w:proofErr w:type="gramEnd"/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, spouse, </w:t>
            </w:r>
            <w:r w:rsidR="00E4790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domestic partner, and/</w:t>
            </w: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or dependents.</w:t>
            </w:r>
            <w:r w:rsidR="00DB36A2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</w:p>
        </w:tc>
        <w:tc>
          <w:tcPr>
            <w:tcW w:w="3584" w:type="pct"/>
            <w:shd w:val="clear" w:color="auto" w:fill="B7D2FF"/>
          </w:tcPr>
          <w:p w:rsidR="00F06578" w:rsidRDefault="00F11AE3" w:rsidP="00F11AE3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</w:p>
          <w:p w:rsidR="00F11AE3" w:rsidRDefault="00F11AE3" w:rsidP="00F11AE3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       </w:t>
            </w:r>
            <w:r w:rsidR="000E5DAB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                         </w:t>
            </w:r>
            <w:r w:rsidR="00C177DB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                                         </w:t>
            </w:r>
            <w:r w:rsidR="000E5DAB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 w:rsidR="00C177DB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      </w:t>
            </w:r>
            <w:r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Vision PPO  </w:t>
            </w:r>
          </w:p>
          <w:p w:rsidR="00C177DB" w:rsidRPr="00405578" w:rsidRDefault="00C177DB" w:rsidP="00F11AE3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  <w:p w:rsidR="00F11AE3" w:rsidRPr="00405578" w:rsidRDefault="00C177DB" w:rsidP="00F11AE3">
            <w:pP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                                                </w:t>
            </w:r>
            <w:r w:rsidR="00F11AE3"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Employee Only:                        $2.00</w:t>
            </w:r>
          </w:p>
          <w:p w:rsidR="00F11AE3" w:rsidRPr="00405578" w:rsidRDefault="00C177DB" w:rsidP="00F11AE3">
            <w:pP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                                                </w:t>
            </w:r>
            <w:r w:rsidR="00F11AE3"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Employee +1:                            $3.00</w:t>
            </w:r>
          </w:p>
          <w:p w:rsidR="00F11AE3" w:rsidRDefault="00C177DB" w:rsidP="00F11AE3">
            <w:pP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                                                </w:t>
            </w:r>
            <w:r w:rsidR="00F11AE3"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Family:                                      $4.00</w:t>
            </w:r>
          </w:p>
          <w:p w:rsidR="0064333F" w:rsidRDefault="0064333F" w:rsidP="00AC6641">
            <w:pPr>
              <w:jc w:val="center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</w:p>
          <w:p w:rsidR="00AC6641" w:rsidRDefault="00CC014B" w:rsidP="00AC6641">
            <w:pPr>
              <w:ind w:right="-468"/>
              <w:jc w:val="center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*The effective date of coverage is the first of the month after </w:t>
            </w:r>
            <w:r w:rsidR="00C177D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hire date.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If the</w:t>
            </w:r>
            <w:r w:rsidR="00C177D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hire date 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is the</w:t>
            </w:r>
          </w:p>
          <w:p w:rsidR="00CC014B" w:rsidRDefault="00F06578" w:rsidP="00AC6641">
            <w:pPr>
              <w:ind w:right="-468"/>
              <w:jc w:val="center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first </w:t>
            </w:r>
            <w:r w:rsidR="00CC014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day of the</w:t>
            </w:r>
            <w:r w:rsidR="00AC664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="00CC014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month and falls on a</w:t>
            </w:r>
            <w:r w:rsidR="00AC664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="00CC014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work day coverage is effective on the </w:t>
            </w:r>
            <w:r w:rsidR="00840B1A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hire date.</w:t>
            </w:r>
          </w:p>
          <w:p w:rsidR="0064333F" w:rsidRPr="00405578" w:rsidRDefault="0064333F" w:rsidP="00F11AE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AE3" w:rsidRPr="00D436AB" w:rsidTr="00AC6641">
        <w:trPr>
          <w:trHeight w:val="605"/>
        </w:trPr>
        <w:tc>
          <w:tcPr>
            <w:tcW w:w="1416" w:type="pct"/>
          </w:tcPr>
          <w:p w:rsidR="00F06578" w:rsidRDefault="00F06578" w:rsidP="00AC6641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  <w:p w:rsidR="00E01CB8" w:rsidRDefault="00F11AE3" w:rsidP="00AC6641">
            <w:pP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Basic Life Insurance/AD &amp; D</w:t>
            </w:r>
            <w:r w:rsidR="00E01CB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(Cigna)</w:t>
            </w:r>
            <w:r w:rsidR="00426BB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 w:rsidR="00B73FA6" w:rsidRPr="00426BB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-</w:t>
            </w:r>
            <w:r w:rsidR="00E4790B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 w:rsidR="00E01CB8"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Ba</w:t>
            </w:r>
            <w:r w:rsidR="00E4790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sic Life Insurance/</w:t>
            </w:r>
            <w:r w:rsidR="00B73FA6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AD &amp; D Insurance</w:t>
            </w:r>
            <w:r w:rsidR="00E01CB8"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: 1</w:t>
            </w:r>
            <w:r w:rsidR="0000217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.5 x annual salary</w:t>
            </w:r>
            <w:r w:rsidR="00E01CB8"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to a maximum of $750,</w:t>
            </w:r>
            <w:r w:rsidR="00E01CB8" w:rsidRPr="00E01CB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000</w:t>
            </w:r>
            <w:r w:rsidR="00003544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in coverage</w:t>
            </w:r>
            <w:r w:rsidR="00E01CB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.</w:t>
            </w:r>
            <w:r w:rsidR="00E01CB8" w:rsidRPr="00E01CB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</w:t>
            </w:r>
          </w:p>
          <w:p w:rsidR="00AC6641" w:rsidRPr="00E01CB8" w:rsidRDefault="00AC6641" w:rsidP="00AC6641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</w:tc>
        <w:tc>
          <w:tcPr>
            <w:tcW w:w="3584" w:type="pct"/>
          </w:tcPr>
          <w:p w:rsidR="00F62C04" w:rsidRDefault="00F62C04" w:rsidP="006433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  <w:p w:rsidR="0064333F" w:rsidRDefault="0064333F" w:rsidP="006433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Basic Life Insurance and AD&amp;</w:t>
            </w:r>
            <w:r w:rsidR="00AF110D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D (Accidental Death and Dismemberment)</w:t>
            </w:r>
          </w:p>
          <w:p w:rsidR="0064333F" w:rsidRPr="00F62C04" w:rsidRDefault="00E4790B" w:rsidP="0064333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Basic Life and AD&amp;D insurance premiums are</w:t>
            </w:r>
            <w:r w:rsidR="00F62C04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F40EF3" w:rsidRPr="00F62C04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paid </w:t>
            </w:r>
            <w:r w:rsidR="000E548A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fully </w:t>
            </w:r>
            <w:r w:rsidR="00F40EF3" w:rsidRPr="00F62C04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by Spelman College</w:t>
            </w:r>
          </w:p>
          <w:p w:rsidR="00F40EF3" w:rsidRPr="00F40EF3" w:rsidRDefault="00F40EF3" w:rsidP="0064333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9"/>
                <w:szCs w:val="19"/>
              </w:rPr>
            </w:pPr>
          </w:p>
          <w:p w:rsidR="00F11AE3" w:rsidRPr="00C30509" w:rsidRDefault="0064333F" w:rsidP="00C177DB">
            <w:pPr>
              <w:jc w:val="center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*The effective date of coverage is the </w:t>
            </w:r>
            <w:r w:rsidR="00C177D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hire date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.</w:t>
            </w:r>
          </w:p>
        </w:tc>
      </w:tr>
      <w:tr w:rsidR="00F11AE3" w:rsidRPr="00D41465" w:rsidTr="00AC6641">
        <w:trPr>
          <w:trHeight w:val="1523"/>
        </w:trPr>
        <w:tc>
          <w:tcPr>
            <w:tcW w:w="1416" w:type="pct"/>
            <w:tcBorders>
              <w:bottom w:val="single" w:sz="4" w:space="0" w:color="auto"/>
            </w:tcBorders>
            <w:shd w:val="clear" w:color="auto" w:fill="B7D2FF"/>
          </w:tcPr>
          <w:p w:rsidR="00E01CB8" w:rsidRPr="00E01CB8" w:rsidRDefault="00805BD0" w:rsidP="00AC6641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Voluntary Term Life Insurance</w:t>
            </w:r>
            <w:r w:rsidR="00E01CB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(Cigna)</w:t>
            </w:r>
            <w:r w:rsidR="00426BB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 w:rsidR="00D328DC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-</w:t>
            </w:r>
            <w:r w:rsidR="00E01CB8"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Employees may apply for additional voluntary term</w:t>
            </w:r>
            <w:r w:rsidR="00B73FA6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="00E01CB8"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life insurance for themselves and their families. In order to elect coverage for a family member, the employee must elect at least that same coverage for themselves. </w:t>
            </w:r>
          </w:p>
        </w:tc>
        <w:tc>
          <w:tcPr>
            <w:tcW w:w="3584" w:type="pct"/>
            <w:shd w:val="clear" w:color="auto" w:fill="B7D2FF"/>
          </w:tcPr>
          <w:p w:rsidR="00F62C04" w:rsidRDefault="00003544" w:rsidP="0064333F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                    </w:t>
            </w:r>
            <w:r w:rsidR="0064333F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              </w:t>
            </w:r>
          </w:p>
          <w:p w:rsidR="00E170CE" w:rsidRDefault="0064333F" w:rsidP="00F62C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Voluntary Term Life</w:t>
            </w:r>
          </w:p>
          <w:p w:rsidR="00F11AE3" w:rsidRPr="00F62C04" w:rsidRDefault="00AC6641" w:rsidP="00F62C0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F62C04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*</w:t>
            </w:r>
            <w:r w:rsidR="00F62C04" w:rsidRPr="00F62C04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The employee </w:t>
            </w:r>
            <w:r w:rsidR="00E4790B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paid premium </w:t>
            </w:r>
            <w:r w:rsidR="00F62C04" w:rsidRPr="00F62C04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c</w:t>
            </w:r>
            <w:r w:rsidR="00E170CE" w:rsidRPr="00F62C04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ost is b</w:t>
            </w:r>
            <w:r w:rsidR="00003544" w:rsidRPr="00F62C04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ased on a</w:t>
            </w:r>
            <w:r w:rsidR="00E170CE" w:rsidRPr="00F62C04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ge and coverage level selected</w:t>
            </w:r>
          </w:p>
          <w:p w:rsidR="00E170CE" w:rsidRDefault="00E170CE" w:rsidP="0064333F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  <w:p w:rsidR="00E170CE" w:rsidRPr="006E5113" w:rsidRDefault="00E170CE" w:rsidP="00C177DB">
            <w:pPr>
              <w:jc w:val="center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*The effective date of coverage is the</w:t>
            </w:r>
            <w:r w:rsidR="00C177D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hire date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for the guaranteed issue amount. Voluntary Life insurance over the guaranteed issue is subject to medical underwriting by Cigna.</w:t>
            </w:r>
          </w:p>
        </w:tc>
      </w:tr>
      <w:tr w:rsidR="00002171" w:rsidRPr="00D41465" w:rsidTr="00AC6641">
        <w:trPr>
          <w:trHeight w:val="1906"/>
        </w:trPr>
        <w:tc>
          <w:tcPr>
            <w:tcW w:w="1416" w:type="pct"/>
            <w:tcBorders>
              <w:bottom w:val="single" w:sz="4" w:space="0" w:color="auto"/>
            </w:tcBorders>
            <w:shd w:val="clear" w:color="auto" w:fill="auto"/>
          </w:tcPr>
          <w:p w:rsidR="00F06578" w:rsidRDefault="00F06578" w:rsidP="00AC6641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  <w:p w:rsidR="00002171" w:rsidRPr="00405578" w:rsidRDefault="00002171" w:rsidP="00AC6641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Long Term Disability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(Cigna)</w:t>
            </w:r>
            <w:r w:rsidR="00426BB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-</w:t>
            </w:r>
            <w:r w:rsidR="00E4790B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Salary continuation when</w:t>
            </w: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you are unable to work due to a qualifying event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(after the </w:t>
            </w:r>
            <w:r w:rsidR="00E170CE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180 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elimination period)</w:t>
            </w: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.</w:t>
            </w:r>
            <w:r w:rsidR="00E170CE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Long term disability is 60 percent of your monthly salary. </w:t>
            </w:r>
            <w:r w:rsidR="00CC014B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                                                                        </w:t>
            </w:r>
          </w:p>
        </w:tc>
        <w:tc>
          <w:tcPr>
            <w:tcW w:w="3584" w:type="pct"/>
            <w:shd w:val="clear" w:color="auto" w:fill="auto"/>
          </w:tcPr>
          <w:p w:rsidR="00F06578" w:rsidRDefault="00F06578" w:rsidP="00E170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  <w:p w:rsidR="00E170CE" w:rsidRDefault="00E170CE" w:rsidP="00F62C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Long Term Disability</w:t>
            </w:r>
          </w:p>
          <w:p w:rsidR="00F62C04" w:rsidRPr="00F62C04" w:rsidRDefault="00F62C04" w:rsidP="00F62C0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Long Term Disability</w:t>
            </w:r>
            <w:r w:rsidR="00DF238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 premium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s </w:t>
            </w:r>
            <w:r w:rsidR="00DF238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are </w:t>
            </w:r>
            <w:r w:rsidRPr="00F62C04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paid </w:t>
            </w:r>
            <w:r w:rsidR="000E548A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fully </w:t>
            </w:r>
            <w:r w:rsidRPr="00F62C04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by Spelman College</w:t>
            </w:r>
          </w:p>
          <w:p w:rsidR="00E170CE" w:rsidRDefault="00E170CE" w:rsidP="00E170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  <w:p w:rsidR="00002171" w:rsidRPr="00405578" w:rsidRDefault="00E170CE" w:rsidP="00C177DB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*The effective date of coverage</w:t>
            </w:r>
            <w:r w:rsidR="00C177D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is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one year from the </w:t>
            </w:r>
            <w:r w:rsidR="00C177D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hire date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.</w:t>
            </w:r>
          </w:p>
        </w:tc>
      </w:tr>
      <w:tr w:rsidR="00805BD0" w:rsidRPr="00D436AB" w:rsidTr="00AC6641">
        <w:trPr>
          <w:trHeight w:val="1618"/>
        </w:trPr>
        <w:tc>
          <w:tcPr>
            <w:tcW w:w="1416" w:type="pct"/>
            <w:tcBorders>
              <w:top w:val="single" w:sz="4" w:space="0" w:color="auto"/>
            </w:tcBorders>
            <w:shd w:val="clear" w:color="auto" w:fill="B7D2FF"/>
          </w:tcPr>
          <w:p w:rsidR="00F06578" w:rsidRDefault="00F06578" w:rsidP="00C30509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  <w:p w:rsidR="00C30509" w:rsidRPr="00405578" w:rsidRDefault="00805BD0" w:rsidP="00C30509">
            <w:pP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Short Term </w:t>
            </w:r>
            <w:r w:rsidR="00851390"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Disability (</w:t>
            </w:r>
            <w:r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AFLAC</w:t>
            </w:r>
            <w:r w:rsidR="00851390"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)</w:t>
            </w:r>
            <w:r w:rsidR="00851390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-</w:t>
            </w:r>
            <w:r w:rsidR="00C30509"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Salary continuation in the event that you are unable to work due to a qualifying event. </w:t>
            </w:r>
          </w:p>
          <w:p w:rsidR="00805BD0" w:rsidRPr="00D328DC" w:rsidRDefault="00805BD0" w:rsidP="00805BD0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</w:tc>
        <w:tc>
          <w:tcPr>
            <w:tcW w:w="3584" w:type="pct"/>
            <w:shd w:val="clear" w:color="auto" w:fill="B7D2FF"/>
          </w:tcPr>
          <w:p w:rsidR="00F62C04" w:rsidRDefault="00F62C04" w:rsidP="00F62C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  <w:p w:rsidR="00F40EF3" w:rsidRDefault="00F62C04" w:rsidP="00F62C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Short Term Disability</w:t>
            </w:r>
          </w:p>
          <w:p w:rsidR="00CF742E" w:rsidRPr="00F62C04" w:rsidRDefault="00CF742E" w:rsidP="00F62C04">
            <w:pPr>
              <w:jc w:val="center"/>
              <w:rPr>
                <w:rFonts w:ascii="Times New Roman" w:hAnsi="Times New Roman" w:cs="Times New Roman"/>
                <w:i/>
                <w:color w:val="1F497D" w:themeColor="text2"/>
                <w:sz w:val="16"/>
                <w:szCs w:val="16"/>
              </w:rPr>
            </w:pPr>
            <w:r w:rsidRPr="006E5113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*</w:t>
            </w:r>
            <w:r w:rsidRPr="00F62C04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Employee </w:t>
            </w:r>
            <w:r w:rsidR="00F62C04" w:rsidRPr="00F62C04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 paid </w:t>
            </w:r>
            <w:r w:rsidR="00CA102B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premiums </w:t>
            </w:r>
            <w:r w:rsidRPr="00F62C04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are determined by age/elimination period elected; some events have a waiting period</w:t>
            </w:r>
          </w:p>
          <w:p w:rsidR="00F62C04" w:rsidRDefault="00F62C04" w:rsidP="00F62C04">
            <w:pPr>
              <w:jc w:val="center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</w:p>
          <w:p w:rsidR="00805BD0" w:rsidRPr="00405578" w:rsidRDefault="00805BD0" w:rsidP="00805BD0">
            <w:pP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Benefit Period:   </w:t>
            </w:r>
            <w:r w:rsidR="00B73FA6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        </w:t>
            </w: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Up to 6 months</w:t>
            </w:r>
          </w:p>
          <w:p w:rsidR="00805BD0" w:rsidRPr="00405578" w:rsidRDefault="00805BD0" w:rsidP="00805BD0">
            <w:pP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Benefit:      </w:t>
            </w:r>
            <w:r w:rsidR="00B73FA6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                 </w:t>
            </w: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Up to 60% of Monthly Income</w:t>
            </w:r>
            <w:r w:rsidR="00003544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(not to exceed maximum)</w:t>
            </w:r>
          </w:p>
          <w:p w:rsidR="00805BD0" w:rsidRPr="00405578" w:rsidRDefault="00805BD0" w:rsidP="00805BD0">
            <w:pPr>
              <w:spacing w:after="60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Elimination Per</w:t>
            </w:r>
            <w:r w:rsidR="00B73FA6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iod:       </w:t>
            </w: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7 or 14 period (based on election)</w:t>
            </w:r>
          </w:p>
          <w:p w:rsidR="00CF742E" w:rsidRDefault="00CF742E" w:rsidP="00CF742E">
            <w:pPr>
              <w:jc w:val="center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</w:p>
          <w:p w:rsidR="00CF742E" w:rsidRPr="006E5113" w:rsidRDefault="00CF742E" w:rsidP="00C177D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*The effective date of coverage is the first</w:t>
            </w:r>
            <w:r w:rsidR="00C177D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of the month after</w:t>
            </w:r>
            <w:r w:rsidR="00C177D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the hire date.</w:t>
            </w:r>
          </w:p>
        </w:tc>
      </w:tr>
      <w:tr w:rsidR="00002171" w:rsidRPr="00D436AB" w:rsidTr="00AC6641">
        <w:trPr>
          <w:trHeight w:val="668"/>
        </w:trPr>
        <w:tc>
          <w:tcPr>
            <w:tcW w:w="1416" w:type="pct"/>
            <w:shd w:val="clear" w:color="auto" w:fill="auto"/>
          </w:tcPr>
          <w:p w:rsidR="00F06578" w:rsidRDefault="00F06578" w:rsidP="00AC6641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  <w:p w:rsidR="00002171" w:rsidRDefault="00CA102B" w:rsidP="00AC6641">
            <w:pP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Cancer Care Insurance (AFLAC) - </w:t>
            </w:r>
            <w:r w:rsidR="00003544" w:rsidRPr="00003544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Money that is</w:t>
            </w:r>
            <w:r w:rsidR="00002171" w:rsidRPr="00003544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paid to you for related expenses after cancer diagnosis. </w:t>
            </w:r>
          </w:p>
          <w:p w:rsidR="00F06578" w:rsidRPr="00003544" w:rsidRDefault="00F06578" w:rsidP="00AC6641">
            <w:pP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</w:p>
        </w:tc>
        <w:tc>
          <w:tcPr>
            <w:tcW w:w="3584" w:type="pct"/>
            <w:shd w:val="clear" w:color="auto" w:fill="auto"/>
          </w:tcPr>
          <w:p w:rsidR="00F62C04" w:rsidRDefault="00F62C04" w:rsidP="008B07BE">
            <w:pPr>
              <w:jc w:val="center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</w:p>
          <w:p w:rsidR="00F62C04" w:rsidRDefault="006A4F27" w:rsidP="008B07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Cancer Care Insurance</w:t>
            </w:r>
          </w:p>
          <w:p w:rsidR="00002171" w:rsidRPr="00F62C04" w:rsidRDefault="00CF742E" w:rsidP="00F62C04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F62C04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*Employee paid </w:t>
            </w:r>
            <w:r w:rsidR="00CA102B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premiums </w:t>
            </w:r>
            <w:r w:rsidR="00002171" w:rsidRPr="00F62C04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are determined by the election of ind</w:t>
            </w:r>
            <w:r w:rsidR="007B5943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ividual or two parent elections</w:t>
            </w:r>
          </w:p>
          <w:p w:rsidR="00CF742E" w:rsidRPr="00003544" w:rsidRDefault="00CF742E" w:rsidP="00C177DB">
            <w:pPr>
              <w:spacing w:after="60"/>
              <w:jc w:val="center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*The effective date of coverage is the first of the month after</w:t>
            </w:r>
            <w:r w:rsidR="00C177DB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hire date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.</w:t>
            </w:r>
          </w:p>
        </w:tc>
      </w:tr>
      <w:tr w:rsidR="00002171" w:rsidRPr="00D41465" w:rsidTr="00AC6641">
        <w:trPr>
          <w:trHeight w:val="1433"/>
        </w:trPr>
        <w:tc>
          <w:tcPr>
            <w:tcW w:w="1416" w:type="pct"/>
            <w:shd w:val="clear" w:color="auto" w:fill="B7D2FF"/>
          </w:tcPr>
          <w:p w:rsidR="00F62C04" w:rsidRDefault="00F62C04" w:rsidP="00AC6641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  <w:p w:rsidR="00002171" w:rsidRDefault="00F62C04" w:rsidP="00AC6641">
            <w:pP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Flexible Spending Account(s) </w:t>
            </w:r>
            <w:r w:rsidR="00002171"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(Payflex</w:t>
            </w:r>
            <w:r w:rsidR="00851390" w:rsidRPr="00405578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)</w:t>
            </w:r>
            <w:r w:rsidR="00851390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-</w:t>
            </w:r>
            <w:r w:rsidR="00002171"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Pre- taxed dollars that are set aside by the employee, through payroll deduction, to be used for </w:t>
            </w:r>
            <w:r w:rsidR="0000217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qualifying health and dependent </w:t>
            </w:r>
            <w:r w:rsidR="00002171"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care</w:t>
            </w:r>
            <w:r w:rsidR="00C323A6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expenses</w:t>
            </w:r>
            <w:r w:rsidR="00002171"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.</w:t>
            </w:r>
            <w:r w:rsidR="00002171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="00002171" w:rsidRPr="00B73FA6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All money must be used by the end of the benefit year (December 31</w:t>
            </w:r>
            <w:r w:rsidR="00002171" w:rsidRPr="00B73FA6">
              <w:rPr>
                <w:rFonts w:ascii="Times New Roman" w:hAnsi="Times New Roman" w:cs="Times New Roman"/>
                <w:color w:val="1F497D" w:themeColor="text2"/>
                <w:sz w:val="19"/>
                <w:szCs w:val="19"/>
                <w:vertAlign w:val="superscript"/>
              </w:rPr>
              <w:t>st</w:t>
            </w:r>
            <w:r w:rsidR="00002171" w:rsidRPr="00B73FA6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; both plans).</w:t>
            </w:r>
          </w:p>
          <w:p w:rsidR="00DB36A2" w:rsidRPr="00B73FA6" w:rsidRDefault="00DB36A2" w:rsidP="00AC6641">
            <w:pPr>
              <w:spacing w:after="60"/>
              <w:ind w:left="720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</w:p>
        </w:tc>
        <w:tc>
          <w:tcPr>
            <w:tcW w:w="3584" w:type="pct"/>
            <w:shd w:val="clear" w:color="auto" w:fill="B7D2FF"/>
          </w:tcPr>
          <w:p w:rsidR="00F62C04" w:rsidRDefault="00F62C04" w:rsidP="00002171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  <w:p w:rsidR="00002171" w:rsidRPr="006E5113" w:rsidRDefault="00002171" w:rsidP="00002171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E5113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Health </w:t>
            </w:r>
            <w:r w:rsidR="00CF742E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Care</w:t>
            </w:r>
            <w:r w:rsidR="00404F01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Account: </w:t>
            </w:r>
          </w:p>
          <w:p w:rsidR="00002171" w:rsidRPr="00405578" w:rsidRDefault="00002171" w:rsidP="00002171">
            <w:pPr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You may elect up to $2,500.</w:t>
            </w:r>
          </w:p>
          <w:p w:rsidR="00002171" w:rsidRPr="00DC4AED" w:rsidRDefault="00002171" w:rsidP="00DC4AED">
            <w:pPr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May be used for qualified medical, dental,</w:t>
            </w:r>
            <w:r w:rsidR="00DC4AED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vision, and prescription care (</w:t>
            </w:r>
            <w:r w:rsidRPr="00DC4AED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Access to the entire elected amount is available on the</w:t>
            </w:r>
            <w:r w:rsidR="00DC4AED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first day of the benefit year -</w:t>
            </w:r>
            <w:r w:rsidR="00C323A6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 w:rsidRPr="00DC4AED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January </w:t>
            </w:r>
            <w:r w:rsidR="00851390" w:rsidRPr="00DC4AED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1</w:t>
            </w:r>
            <w:r w:rsidR="00851390" w:rsidRPr="00DC4AED">
              <w:rPr>
                <w:rFonts w:ascii="Times New Roman" w:hAnsi="Times New Roman" w:cs="Times New Roman"/>
                <w:color w:val="1F497D" w:themeColor="text2"/>
                <w:sz w:val="19"/>
                <w:szCs w:val="19"/>
                <w:vertAlign w:val="superscript"/>
              </w:rPr>
              <w:t>st</w:t>
            </w:r>
            <w:r w:rsidR="00851390">
              <w:rPr>
                <w:rFonts w:ascii="Times New Roman" w:hAnsi="Times New Roman" w:cs="Times New Roman"/>
                <w:color w:val="1F497D" w:themeColor="text2"/>
                <w:sz w:val="19"/>
                <w:szCs w:val="19"/>
                <w:vertAlign w:val="superscript"/>
              </w:rPr>
              <w:t>)</w:t>
            </w:r>
            <w:r w:rsidRPr="00DC4AED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.</w:t>
            </w:r>
            <w:r w:rsidR="00CF742E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  The elected amount is available upon enrollment for employees hired mid</w:t>
            </w:r>
            <w:r w:rsidR="00730673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-y</w:t>
            </w:r>
            <w:r w:rsidR="00CF742E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ear.</w:t>
            </w:r>
          </w:p>
          <w:p w:rsidR="00002171" w:rsidRPr="006E5113" w:rsidRDefault="00404F01" w:rsidP="00002171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Dependent Care Account:</w:t>
            </w:r>
          </w:p>
          <w:p w:rsidR="00002171" w:rsidRDefault="00002171" w:rsidP="00DC4AED">
            <w:pPr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 w:rsidRPr="00405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Yo</w:t>
            </w:r>
            <w:r w:rsidR="00DC4AED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u may elect up to $5,000 (</w:t>
            </w:r>
            <w:r w:rsidRPr="00DC4AED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Access is available to the contribu</w:t>
            </w:r>
            <w:r w:rsidR="00DC4AED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ted amount at the time of claim).</w:t>
            </w:r>
          </w:p>
          <w:p w:rsidR="00851390" w:rsidRDefault="00851390" w:rsidP="00F06578">
            <w:pPr>
              <w:spacing w:after="60"/>
              <w:ind w:left="720"/>
              <w:jc w:val="center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</w:p>
          <w:p w:rsidR="00F06578" w:rsidRDefault="00851390" w:rsidP="00F06578">
            <w:pPr>
              <w:ind w:right="-468"/>
              <w:jc w:val="center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*The effective date of coverage is the first of the month after the hire date.  If the hire date is the</w:t>
            </w:r>
          </w:p>
          <w:p w:rsidR="00CF742E" w:rsidRDefault="00851390" w:rsidP="00F06578">
            <w:pPr>
              <w:ind w:right="-468"/>
              <w:jc w:val="center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first day of the month and falls on a</w:t>
            </w:r>
            <w:r w:rsidR="00F06578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 xml:space="preserve">work day coverage is effective on </w:t>
            </w:r>
            <w:r w:rsidR="00840B1A"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  <w:t>hire date.</w:t>
            </w:r>
          </w:p>
          <w:p w:rsidR="00CF742E" w:rsidRPr="00DC4AED" w:rsidRDefault="00CF742E" w:rsidP="00851390">
            <w:pPr>
              <w:spacing w:after="60"/>
              <w:ind w:left="720"/>
              <w:jc w:val="center"/>
              <w:rPr>
                <w:rFonts w:ascii="Times New Roman" w:hAnsi="Times New Roman" w:cs="Times New Roman"/>
                <w:color w:val="1F497D" w:themeColor="text2"/>
                <w:sz w:val="19"/>
                <w:szCs w:val="19"/>
              </w:rPr>
            </w:pPr>
          </w:p>
        </w:tc>
      </w:tr>
    </w:tbl>
    <w:p w:rsidR="00FE590B" w:rsidRPr="00AA3115" w:rsidRDefault="0063176F" w:rsidP="0063176F">
      <w:pPr>
        <w:pStyle w:val="ListParagraph"/>
        <w:jc w:val="both"/>
        <w:rPr>
          <w:b/>
          <w:sz w:val="18"/>
          <w:szCs w:val="18"/>
        </w:rPr>
      </w:pPr>
      <w:r w:rsidRPr="00AA3115">
        <w:rPr>
          <w:b/>
          <w:sz w:val="18"/>
          <w:szCs w:val="18"/>
        </w:rPr>
        <w:t xml:space="preserve">For </w:t>
      </w:r>
      <w:r w:rsidR="002602D8">
        <w:rPr>
          <w:b/>
          <w:sz w:val="18"/>
          <w:szCs w:val="18"/>
        </w:rPr>
        <w:t xml:space="preserve">detailed plan </w:t>
      </w:r>
      <w:r w:rsidRPr="00AA3115">
        <w:rPr>
          <w:b/>
          <w:sz w:val="18"/>
          <w:szCs w:val="18"/>
        </w:rPr>
        <w:t>information, p</w:t>
      </w:r>
      <w:r w:rsidR="00D62B44" w:rsidRPr="00AA3115">
        <w:rPr>
          <w:b/>
          <w:sz w:val="18"/>
          <w:szCs w:val="18"/>
        </w:rPr>
        <w:t>lease read the summary plan booklets and the summary of benefits and coverages documents located on the portal at my/spelman/human resources.</w:t>
      </w:r>
      <w:r w:rsidR="00AA3115">
        <w:rPr>
          <w:b/>
          <w:sz w:val="18"/>
          <w:szCs w:val="18"/>
        </w:rPr>
        <w:t xml:space="preserve">  Also, if you have questions, you may contact the Office of Human Resources at 404-270-</w:t>
      </w:r>
      <w:r w:rsidR="00EF3534">
        <w:rPr>
          <w:b/>
          <w:sz w:val="18"/>
          <w:szCs w:val="18"/>
        </w:rPr>
        <w:t>5102 or 404-270</w:t>
      </w:r>
      <w:r w:rsidR="009C0C8A">
        <w:rPr>
          <w:b/>
          <w:sz w:val="18"/>
          <w:szCs w:val="18"/>
        </w:rPr>
        <w:t>-</w:t>
      </w:r>
      <w:r w:rsidR="00AA3115">
        <w:rPr>
          <w:b/>
          <w:sz w:val="18"/>
          <w:szCs w:val="18"/>
        </w:rPr>
        <w:t>5092</w:t>
      </w:r>
      <w:r w:rsidR="00EF3534">
        <w:rPr>
          <w:b/>
          <w:sz w:val="18"/>
          <w:szCs w:val="18"/>
        </w:rPr>
        <w:t xml:space="preserve">. </w:t>
      </w:r>
    </w:p>
    <w:sectPr w:rsidR="00FE590B" w:rsidRPr="00AA3115" w:rsidSect="00491B2C">
      <w:footerReference w:type="default" r:id="rId9"/>
      <w:pgSz w:w="15840" w:h="12240" w:orient="landscape"/>
      <w:pgMar w:top="99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9A" w:rsidRDefault="00A23E9A" w:rsidP="00DB5BE9">
      <w:pPr>
        <w:spacing w:after="0" w:line="240" w:lineRule="auto"/>
      </w:pPr>
      <w:r>
        <w:separator/>
      </w:r>
    </w:p>
  </w:endnote>
  <w:endnote w:type="continuationSeparator" w:id="0">
    <w:p w:rsidR="00A23E9A" w:rsidRDefault="00A23E9A" w:rsidP="00DB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D3" w:rsidRPr="009376DC" w:rsidRDefault="00171321" w:rsidP="00AD4E42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 w:rsidR="009376DC" w:rsidRPr="009376DC">
      <w:rPr>
        <w:rFonts w:ascii="Times New Roman" w:hAnsi="Times New Roman" w:cs="Times New Roman"/>
        <w:sz w:val="20"/>
        <w:szCs w:val="20"/>
      </w:rPr>
      <w:t xml:space="preserve">                                          </w:t>
    </w:r>
    <w:r w:rsidR="009376DC">
      <w:rPr>
        <w:rFonts w:ascii="Times New Roman" w:hAnsi="Times New Roman" w:cs="Times New Roman"/>
        <w:sz w:val="20"/>
        <w:szCs w:val="20"/>
      </w:rPr>
      <w:t xml:space="preserve"> </w:t>
    </w:r>
    <w:r w:rsidR="001A5D40">
      <w:rPr>
        <w:rFonts w:ascii="Times New Roman" w:hAnsi="Times New Roman" w:cs="Times New Roman"/>
        <w:sz w:val="20"/>
        <w:szCs w:val="20"/>
      </w:rPr>
      <w:t>1/2014</w:t>
    </w:r>
    <w:r w:rsidR="00AD4E42" w:rsidRPr="009376DC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</w:t>
    </w:r>
    <w:r w:rsidR="009376DC" w:rsidRPr="009376DC">
      <w:rPr>
        <w:rFonts w:ascii="Times New Roman" w:hAnsi="Times New Roman" w:cs="Times New Roman"/>
        <w:sz w:val="20"/>
        <w:szCs w:val="20"/>
      </w:rPr>
      <w:t xml:space="preserve">                               </w:t>
    </w:r>
    <w:r w:rsidR="00E711D3" w:rsidRPr="009376DC">
      <w:rPr>
        <w:rFonts w:ascii="Times New Roman" w:hAnsi="Times New Roman" w:cs="Times New Roman"/>
        <w:sz w:val="20"/>
        <w:szCs w:val="20"/>
      </w:rPr>
      <w:tab/>
      <w:t xml:space="preserve">                   </w:t>
    </w:r>
    <w:r w:rsidR="001860B8" w:rsidRPr="009376DC">
      <w:rPr>
        <w:rFonts w:ascii="Times New Roman" w:hAnsi="Times New Roman" w:cs="Times New Roman"/>
        <w:sz w:val="20"/>
        <w:szCs w:val="20"/>
      </w:rPr>
      <w:t xml:space="preserve">   </w:t>
    </w:r>
    <w:r w:rsidR="00E711D3" w:rsidRPr="009376DC">
      <w:rPr>
        <w:rFonts w:ascii="Times New Roman" w:hAnsi="Times New Roman" w:cs="Times New Roman"/>
        <w:sz w:val="20"/>
        <w:szCs w:val="20"/>
      </w:rPr>
      <w:t xml:space="preserve"> </w:t>
    </w:r>
    <w:r w:rsidR="00AD4E42" w:rsidRPr="009376DC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  <w:p w:rsidR="00E711D3" w:rsidRDefault="00E711D3" w:rsidP="00DB5BE9">
    <w:pPr>
      <w:pStyle w:val="Footer"/>
    </w:pPr>
  </w:p>
  <w:p w:rsidR="00E711D3" w:rsidRDefault="00E711D3" w:rsidP="00DB5BE9">
    <w:pPr>
      <w:pStyle w:val="Footer"/>
    </w:pPr>
  </w:p>
  <w:p w:rsidR="00B73FA6" w:rsidRDefault="00B73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9A" w:rsidRDefault="00A23E9A" w:rsidP="00DB5BE9">
      <w:pPr>
        <w:spacing w:after="0" w:line="240" w:lineRule="auto"/>
      </w:pPr>
      <w:r>
        <w:separator/>
      </w:r>
    </w:p>
  </w:footnote>
  <w:footnote w:type="continuationSeparator" w:id="0">
    <w:p w:rsidR="00A23E9A" w:rsidRDefault="00A23E9A" w:rsidP="00DB5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930"/>
    <w:multiLevelType w:val="hybridMultilevel"/>
    <w:tmpl w:val="DA60352A"/>
    <w:lvl w:ilvl="0" w:tplc="DA9E8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25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CC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A7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0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A8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A4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E3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00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0E0F83"/>
    <w:multiLevelType w:val="hybridMultilevel"/>
    <w:tmpl w:val="2A86C494"/>
    <w:lvl w:ilvl="0" w:tplc="E7F08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339E0"/>
    <w:multiLevelType w:val="hybridMultilevel"/>
    <w:tmpl w:val="02DACA7C"/>
    <w:lvl w:ilvl="0" w:tplc="7F705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8D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87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44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85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03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C2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EF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2A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D55E95"/>
    <w:multiLevelType w:val="hybridMultilevel"/>
    <w:tmpl w:val="A2E24442"/>
    <w:lvl w:ilvl="0" w:tplc="EAA0C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67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8C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A3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0A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C3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CE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80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8E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24F4F20"/>
    <w:multiLevelType w:val="hybridMultilevel"/>
    <w:tmpl w:val="A8D0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936A4"/>
    <w:multiLevelType w:val="hybridMultilevel"/>
    <w:tmpl w:val="E370F15E"/>
    <w:lvl w:ilvl="0" w:tplc="434C1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68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A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C4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0C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0D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2F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B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C1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BA4543D"/>
    <w:multiLevelType w:val="hybridMultilevel"/>
    <w:tmpl w:val="EDC2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A738E"/>
    <w:multiLevelType w:val="hybridMultilevel"/>
    <w:tmpl w:val="D9B0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72F7C"/>
    <w:multiLevelType w:val="hybridMultilevel"/>
    <w:tmpl w:val="ECEC9AD4"/>
    <w:lvl w:ilvl="0" w:tplc="351CC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0E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43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C6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C0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E0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A0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47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4F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46A01CC"/>
    <w:multiLevelType w:val="hybridMultilevel"/>
    <w:tmpl w:val="4B22B8B0"/>
    <w:lvl w:ilvl="0" w:tplc="C8B8D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8D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27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CE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00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A4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A8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0C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E6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C18330B"/>
    <w:multiLevelType w:val="hybridMultilevel"/>
    <w:tmpl w:val="C626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174AD"/>
    <w:multiLevelType w:val="hybridMultilevel"/>
    <w:tmpl w:val="DF86A8BE"/>
    <w:lvl w:ilvl="0" w:tplc="0B88C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ED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29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62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00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A6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24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E3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08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0B"/>
    <w:rsid w:val="00002095"/>
    <w:rsid w:val="00002171"/>
    <w:rsid w:val="00003544"/>
    <w:rsid w:val="000103CD"/>
    <w:rsid w:val="00014B38"/>
    <w:rsid w:val="00015B28"/>
    <w:rsid w:val="00026B73"/>
    <w:rsid w:val="00054921"/>
    <w:rsid w:val="000679FF"/>
    <w:rsid w:val="00072305"/>
    <w:rsid w:val="00072B9D"/>
    <w:rsid w:val="00093136"/>
    <w:rsid w:val="000A2052"/>
    <w:rsid w:val="000B2918"/>
    <w:rsid w:val="000C0D3B"/>
    <w:rsid w:val="000D716C"/>
    <w:rsid w:val="000E0D5F"/>
    <w:rsid w:val="000E548A"/>
    <w:rsid w:val="000E5DAB"/>
    <w:rsid w:val="000E660F"/>
    <w:rsid w:val="000F789C"/>
    <w:rsid w:val="0011286C"/>
    <w:rsid w:val="0011287B"/>
    <w:rsid w:val="0011287D"/>
    <w:rsid w:val="00116DEA"/>
    <w:rsid w:val="0013108E"/>
    <w:rsid w:val="0013348B"/>
    <w:rsid w:val="00134418"/>
    <w:rsid w:val="00143ACA"/>
    <w:rsid w:val="001458C0"/>
    <w:rsid w:val="00150241"/>
    <w:rsid w:val="001533CE"/>
    <w:rsid w:val="00153EDC"/>
    <w:rsid w:val="001551E5"/>
    <w:rsid w:val="00171321"/>
    <w:rsid w:val="00174AB6"/>
    <w:rsid w:val="00175E77"/>
    <w:rsid w:val="0018393B"/>
    <w:rsid w:val="001846F4"/>
    <w:rsid w:val="00185AB0"/>
    <w:rsid w:val="001860B8"/>
    <w:rsid w:val="00193CCC"/>
    <w:rsid w:val="001953E0"/>
    <w:rsid w:val="001A4332"/>
    <w:rsid w:val="001A5D40"/>
    <w:rsid w:val="001B6807"/>
    <w:rsid w:val="001C04D9"/>
    <w:rsid w:val="001D342A"/>
    <w:rsid w:val="001D494C"/>
    <w:rsid w:val="001D4DA6"/>
    <w:rsid w:val="001D7808"/>
    <w:rsid w:val="001E4498"/>
    <w:rsid w:val="001E6C71"/>
    <w:rsid w:val="001E7962"/>
    <w:rsid w:val="001F2FDA"/>
    <w:rsid w:val="001F3C4B"/>
    <w:rsid w:val="002008DA"/>
    <w:rsid w:val="002120C1"/>
    <w:rsid w:val="00213527"/>
    <w:rsid w:val="00232045"/>
    <w:rsid w:val="002321F1"/>
    <w:rsid w:val="00237127"/>
    <w:rsid w:val="002432F5"/>
    <w:rsid w:val="0024384A"/>
    <w:rsid w:val="00246209"/>
    <w:rsid w:val="00250CAE"/>
    <w:rsid w:val="002602D8"/>
    <w:rsid w:val="002746D5"/>
    <w:rsid w:val="0028165E"/>
    <w:rsid w:val="002A65BC"/>
    <w:rsid w:val="002B41EC"/>
    <w:rsid w:val="002B7A35"/>
    <w:rsid w:val="002C0A87"/>
    <w:rsid w:val="002C6FA9"/>
    <w:rsid w:val="002E76A5"/>
    <w:rsid w:val="002F6B50"/>
    <w:rsid w:val="00307212"/>
    <w:rsid w:val="003104EB"/>
    <w:rsid w:val="00314479"/>
    <w:rsid w:val="00333B8F"/>
    <w:rsid w:val="003362B3"/>
    <w:rsid w:val="003419D8"/>
    <w:rsid w:val="00343110"/>
    <w:rsid w:val="003471E0"/>
    <w:rsid w:val="00365E73"/>
    <w:rsid w:val="00366D6F"/>
    <w:rsid w:val="00380FED"/>
    <w:rsid w:val="00384D23"/>
    <w:rsid w:val="00386A56"/>
    <w:rsid w:val="00386DDD"/>
    <w:rsid w:val="00394055"/>
    <w:rsid w:val="00394C72"/>
    <w:rsid w:val="003C140B"/>
    <w:rsid w:val="003D0D3E"/>
    <w:rsid w:val="003D224B"/>
    <w:rsid w:val="003D631A"/>
    <w:rsid w:val="003D6C6D"/>
    <w:rsid w:val="003F5D50"/>
    <w:rsid w:val="00402078"/>
    <w:rsid w:val="00404F01"/>
    <w:rsid w:val="00405578"/>
    <w:rsid w:val="00412B9D"/>
    <w:rsid w:val="0041587F"/>
    <w:rsid w:val="00421061"/>
    <w:rsid w:val="00422EBE"/>
    <w:rsid w:val="00426BB8"/>
    <w:rsid w:val="00435A89"/>
    <w:rsid w:val="00436010"/>
    <w:rsid w:val="00454E4D"/>
    <w:rsid w:val="00457008"/>
    <w:rsid w:val="00465786"/>
    <w:rsid w:val="00473F1B"/>
    <w:rsid w:val="00475C90"/>
    <w:rsid w:val="0047652E"/>
    <w:rsid w:val="004767AB"/>
    <w:rsid w:val="00491B2C"/>
    <w:rsid w:val="00493486"/>
    <w:rsid w:val="0049702B"/>
    <w:rsid w:val="004972DD"/>
    <w:rsid w:val="004B1375"/>
    <w:rsid w:val="004B7DC8"/>
    <w:rsid w:val="004C0A2D"/>
    <w:rsid w:val="004C5506"/>
    <w:rsid w:val="004D463E"/>
    <w:rsid w:val="004E1C61"/>
    <w:rsid w:val="004E54F8"/>
    <w:rsid w:val="00501186"/>
    <w:rsid w:val="00512CE1"/>
    <w:rsid w:val="00523626"/>
    <w:rsid w:val="00533978"/>
    <w:rsid w:val="00555908"/>
    <w:rsid w:val="0056757D"/>
    <w:rsid w:val="00570A4B"/>
    <w:rsid w:val="005811A3"/>
    <w:rsid w:val="005907D0"/>
    <w:rsid w:val="005A0C62"/>
    <w:rsid w:val="005B12EA"/>
    <w:rsid w:val="005B1CD9"/>
    <w:rsid w:val="005D47AF"/>
    <w:rsid w:val="005D5764"/>
    <w:rsid w:val="005E1832"/>
    <w:rsid w:val="005F37B0"/>
    <w:rsid w:val="005F7603"/>
    <w:rsid w:val="005F78C3"/>
    <w:rsid w:val="00607DC2"/>
    <w:rsid w:val="0061131E"/>
    <w:rsid w:val="006229A5"/>
    <w:rsid w:val="00625E54"/>
    <w:rsid w:val="00631312"/>
    <w:rsid w:val="0063176F"/>
    <w:rsid w:val="0064333F"/>
    <w:rsid w:val="00665191"/>
    <w:rsid w:val="00670B3E"/>
    <w:rsid w:val="006729B1"/>
    <w:rsid w:val="00673146"/>
    <w:rsid w:val="00683138"/>
    <w:rsid w:val="00684933"/>
    <w:rsid w:val="006872A1"/>
    <w:rsid w:val="0069155F"/>
    <w:rsid w:val="006A4F27"/>
    <w:rsid w:val="006B67E0"/>
    <w:rsid w:val="006E5113"/>
    <w:rsid w:val="006F00E4"/>
    <w:rsid w:val="006F2D61"/>
    <w:rsid w:val="006F3F4D"/>
    <w:rsid w:val="0071709D"/>
    <w:rsid w:val="00722659"/>
    <w:rsid w:val="00726E4B"/>
    <w:rsid w:val="007272DE"/>
    <w:rsid w:val="00730673"/>
    <w:rsid w:val="007323CC"/>
    <w:rsid w:val="00741A05"/>
    <w:rsid w:val="00744262"/>
    <w:rsid w:val="007470B8"/>
    <w:rsid w:val="007546B8"/>
    <w:rsid w:val="0075690C"/>
    <w:rsid w:val="007601B5"/>
    <w:rsid w:val="00771A25"/>
    <w:rsid w:val="00784C82"/>
    <w:rsid w:val="00786C7C"/>
    <w:rsid w:val="007B5943"/>
    <w:rsid w:val="007C1E87"/>
    <w:rsid w:val="007C5D3F"/>
    <w:rsid w:val="007C7C73"/>
    <w:rsid w:val="007D01D1"/>
    <w:rsid w:val="007D0722"/>
    <w:rsid w:val="007E1628"/>
    <w:rsid w:val="007E7953"/>
    <w:rsid w:val="007F21A5"/>
    <w:rsid w:val="00805BAA"/>
    <w:rsid w:val="00805BD0"/>
    <w:rsid w:val="0081098C"/>
    <w:rsid w:val="00810E1E"/>
    <w:rsid w:val="008112D3"/>
    <w:rsid w:val="00815C20"/>
    <w:rsid w:val="008161FE"/>
    <w:rsid w:val="008249F0"/>
    <w:rsid w:val="0083186F"/>
    <w:rsid w:val="00832225"/>
    <w:rsid w:val="00840B1A"/>
    <w:rsid w:val="0084498F"/>
    <w:rsid w:val="008477C4"/>
    <w:rsid w:val="00850CE1"/>
    <w:rsid w:val="00851390"/>
    <w:rsid w:val="00852267"/>
    <w:rsid w:val="00852A18"/>
    <w:rsid w:val="00857B85"/>
    <w:rsid w:val="008674DB"/>
    <w:rsid w:val="00875FDF"/>
    <w:rsid w:val="00893B62"/>
    <w:rsid w:val="00894939"/>
    <w:rsid w:val="008A653D"/>
    <w:rsid w:val="008B07BE"/>
    <w:rsid w:val="008B373E"/>
    <w:rsid w:val="008B3B5A"/>
    <w:rsid w:val="008B617C"/>
    <w:rsid w:val="008C6B31"/>
    <w:rsid w:val="008D0DF2"/>
    <w:rsid w:val="008D1130"/>
    <w:rsid w:val="008D45D7"/>
    <w:rsid w:val="008D60BE"/>
    <w:rsid w:val="008D6558"/>
    <w:rsid w:val="008E07A3"/>
    <w:rsid w:val="008E54F6"/>
    <w:rsid w:val="008E6A42"/>
    <w:rsid w:val="008F0D0C"/>
    <w:rsid w:val="008F2596"/>
    <w:rsid w:val="008F3C9D"/>
    <w:rsid w:val="008F6156"/>
    <w:rsid w:val="0092592F"/>
    <w:rsid w:val="009376DC"/>
    <w:rsid w:val="00941A42"/>
    <w:rsid w:val="00954C57"/>
    <w:rsid w:val="00964CC1"/>
    <w:rsid w:val="00971FBB"/>
    <w:rsid w:val="009741EA"/>
    <w:rsid w:val="00977865"/>
    <w:rsid w:val="00984A7C"/>
    <w:rsid w:val="0099630E"/>
    <w:rsid w:val="00996EB9"/>
    <w:rsid w:val="009B1427"/>
    <w:rsid w:val="009B5EFB"/>
    <w:rsid w:val="009C0C8A"/>
    <w:rsid w:val="009C749D"/>
    <w:rsid w:val="009D1ACE"/>
    <w:rsid w:val="009F3D33"/>
    <w:rsid w:val="009F3FC5"/>
    <w:rsid w:val="00A015EA"/>
    <w:rsid w:val="00A01CD6"/>
    <w:rsid w:val="00A01D4B"/>
    <w:rsid w:val="00A04899"/>
    <w:rsid w:val="00A23E9A"/>
    <w:rsid w:val="00A40068"/>
    <w:rsid w:val="00A518E5"/>
    <w:rsid w:val="00A51D6E"/>
    <w:rsid w:val="00A531F6"/>
    <w:rsid w:val="00A744A6"/>
    <w:rsid w:val="00A86071"/>
    <w:rsid w:val="00A92AC9"/>
    <w:rsid w:val="00AA1470"/>
    <w:rsid w:val="00AA2023"/>
    <w:rsid w:val="00AA3115"/>
    <w:rsid w:val="00AC6641"/>
    <w:rsid w:val="00AD4E42"/>
    <w:rsid w:val="00AE1B66"/>
    <w:rsid w:val="00AE2D20"/>
    <w:rsid w:val="00AE7038"/>
    <w:rsid w:val="00AF110D"/>
    <w:rsid w:val="00B06FFE"/>
    <w:rsid w:val="00B11C81"/>
    <w:rsid w:val="00B133E3"/>
    <w:rsid w:val="00B3450A"/>
    <w:rsid w:val="00B35400"/>
    <w:rsid w:val="00B37791"/>
    <w:rsid w:val="00B40332"/>
    <w:rsid w:val="00B63452"/>
    <w:rsid w:val="00B64E60"/>
    <w:rsid w:val="00B73FA6"/>
    <w:rsid w:val="00B75273"/>
    <w:rsid w:val="00B80653"/>
    <w:rsid w:val="00B8265F"/>
    <w:rsid w:val="00B82892"/>
    <w:rsid w:val="00B87F60"/>
    <w:rsid w:val="00B91774"/>
    <w:rsid w:val="00B96384"/>
    <w:rsid w:val="00B9652C"/>
    <w:rsid w:val="00BB03D8"/>
    <w:rsid w:val="00BC26E1"/>
    <w:rsid w:val="00BC39F4"/>
    <w:rsid w:val="00BD1212"/>
    <w:rsid w:val="00BE477E"/>
    <w:rsid w:val="00BE52D0"/>
    <w:rsid w:val="00BF3859"/>
    <w:rsid w:val="00BF3B79"/>
    <w:rsid w:val="00BF45A5"/>
    <w:rsid w:val="00C11696"/>
    <w:rsid w:val="00C177DB"/>
    <w:rsid w:val="00C212C0"/>
    <w:rsid w:val="00C30509"/>
    <w:rsid w:val="00C323A6"/>
    <w:rsid w:val="00C36A22"/>
    <w:rsid w:val="00C5254A"/>
    <w:rsid w:val="00C527A0"/>
    <w:rsid w:val="00C52A26"/>
    <w:rsid w:val="00C6381B"/>
    <w:rsid w:val="00C708E5"/>
    <w:rsid w:val="00C73A71"/>
    <w:rsid w:val="00C769A5"/>
    <w:rsid w:val="00C77E7B"/>
    <w:rsid w:val="00C81598"/>
    <w:rsid w:val="00C81E25"/>
    <w:rsid w:val="00C94E87"/>
    <w:rsid w:val="00CA102B"/>
    <w:rsid w:val="00CA176F"/>
    <w:rsid w:val="00CB375A"/>
    <w:rsid w:val="00CB45CC"/>
    <w:rsid w:val="00CB57FE"/>
    <w:rsid w:val="00CC014B"/>
    <w:rsid w:val="00CD3AFE"/>
    <w:rsid w:val="00CD4861"/>
    <w:rsid w:val="00CD50CC"/>
    <w:rsid w:val="00CD5594"/>
    <w:rsid w:val="00CF3304"/>
    <w:rsid w:val="00CF3DAC"/>
    <w:rsid w:val="00CF742E"/>
    <w:rsid w:val="00D04FB3"/>
    <w:rsid w:val="00D22E66"/>
    <w:rsid w:val="00D328DC"/>
    <w:rsid w:val="00D41465"/>
    <w:rsid w:val="00D41A9E"/>
    <w:rsid w:val="00D436AB"/>
    <w:rsid w:val="00D4518F"/>
    <w:rsid w:val="00D62B44"/>
    <w:rsid w:val="00D6339A"/>
    <w:rsid w:val="00D64840"/>
    <w:rsid w:val="00D673A0"/>
    <w:rsid w:val="00D76080"/>
    <w:rsid w:val="00D814BE"/>
    <w:rsid w:val="00D85124"/>
    <w:rsid w:val="00D86436"/>
    <w:rsid w:val="00DB0D10"/>
    <w:rsid w:val="00DB1C85"/>
    <w:rsid w:val="00DB36A2"/>
    <w:rsid w:val="00DB5BE9"/>
    <w:rsid w:val="00DC007B"/>
    <w:rsid w:val="00DC4AED"/>
    <w:rsid w:val="00DC75FF"/>
    <w:rsid w:val="00DD35F7"/>
    <w:rsid w:val="00DE03D7"/>
    <w:rsid w:val="00DE5695"/>
    <w:rsid w:val="00DF045F"/>
    <w:rsid w:val="00DF09E0"/>
    <w:rsid w:val="00DF2385"/>
    <w:rsid w:val="00DF2908"/>
    <w:rsid w:val="00DF42AC"/>
    <w:rsid w:val="00E00CF2"/>
    <w:rsid w:val="00E00F93"/>
    <w:rsid w:val="00E01CB8"/>
    <w:rsid w:val="00E0479F"/>
    <w:rsid w:val="00E170CE"/>
    <w:rsid w:val="00E309C7"/>
    <w:rsid w:val="00E374C8"/>
    <w:rsid w:val="00E40BFC"/>
    <w:rsid w:val="00E416DE"/>
    <w:rsid w:val="00E4790B"/>
    <w:rsid w:val="00E53C1E"/>
    <w:rsid w:val="00E5731F"/>
    <w:rsid w:val="00E711D3"/>
    <w:rsid w:val="00E77C3A"/>
    <w:rsid w:val="00E830FF"/>
    <w:rsid w:val="00E833EF"/>
    <w:rsid w:val="00E8537A"/>
    <w:rsid w:val="00E85420"/>
    <w:rsid w:val="00E87F33"/>
    <w:rsid w:val="00E941B7"/>
    <w:rsid w:val="00EA3528"/>
    <w:rsid w:val="00EA65E3"/>
    <w:rsid w:val="00EE4C7E"/>
    <w:rsid w:val="00EF3534"/>
    <w:rsid w:val="00EF4E8E"/>
    <w:rsid w:val="00F03223"/>
    <w:rsid w:val="00F045B0"/>
    <w:rsid w:val="00F06578"/>
    <w:rsid w:val="00F11AE3"/>
    <w:rsid w:val="00F13662"/>
    <w:rsid w:val="00F30937"/>
    <w:rsid w:val="00F31851"/>
    <w:rsid w:val="00F33E3A"/>
    <w:rsid w:val="00F33FA5"/>
    <w:rsid w:val="00F35BA5"/>
    <w:rsid w:val="00F40EF3"/>
    <w:rsid w:val="00F608C5"/>
    <w:rsid w:val="00F61251"/>
    <w:rsid w:val="00F62C04"/>
    <w:rsid w:val="00F6443E"/>
    <w:rsid w:val="00F676DC"/>
    <w:rsid w:val="00F87341"/>
    <w:rsid w:val="00F9112B"/>
    <w:rsid w:val="00FA1747"/>
    <w:rsid w:val="00FB4A04"/>
    <w:rsid w:val="00FC20B9"/>
    <w:rsid w:val="00FD3948"/>
    <w:rsid w:val="00FD3DDC"/>
    <w:rsid w:val="00FD548E"/>
    <w:rsid w:val="00FE2BAC"/>
    <w:rsid w:val="00FE590B"/>
    <w:rsid w:val="00FF3C5C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590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0B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0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038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B5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BE9"/>
  </w:style>
  <w:style w:type="paragraph" w:styleId="Footer">
    <w:name w:val="footer"/>
    <w:basedOn w:val="Normal"/>
    <w:link w:val="FooterChar"/>
    <w:uiPriority w:val="99"/>
    <w:unhideWhenUsed/>
    <w:rsid w:val="00DB5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BE9"/>
  </w:style>
  <w:style w:type="character" w:styleId="Hyperlink">
    <w:name w:val="Hyperlink"/>
    <w:basedOn w:val="DefaultParagraphFont"/>
    <w:uiPriority w:val="99"/>
    <w:unhideWhenUsed/>
    <w:rsid w:val="00E711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590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0B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0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038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B5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BE9"/>
  </w:style>
  <w:style w:type="paragraph" w:styleId="Footer">
    <w:name w:val="footer"/>
    <w:basedOn w:val="Normal"/>
    <w:link w:val="FooterChar"/>
    <w:uiPriority w:val="99"/>
    <w:unhideWhenUsed/>
    <w:rsid w:val="00DB5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BE9"/>
  </w:style>
  <w:style w:type="character" w:styleId="Hyperlink">
    <w:name w:val="Hyperlink"/>
    <w:basedOn w:val="DefaultParagraphFont"/>
    <w:uiPriority w:val="99"/>
    <w:unhideWhenUsed/>
    <w:rsid w:val="00E71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5F83-67A1-440A-812C-52186E26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jwalton8</dc:creator>
  <cp:lastModifiedBy>Renita Davidson</cp:lastModifiedBy>
  <cp:revision>3</cp:revision>
  <cp:lastPrinted>2013-12-19T17:03:00Z</cp:lastPrinted>
  <dcterms:created xsi:type="dcterms:W3CDTF">2013-12-19T17:04:00Z</dcterms:created>
  <dcterms:modified xsi:type="dcterms:W3CDTF">2013-12-19T17:06:00Z</dcterms:modified>
</cp:coreProperties>
</file>